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06 NIST CSFW</w:t>
      </w:r>
    </w:p>
    <w:p>
      <w:pPr>
        <w:pStyle w:val="Heading1"/>
      </w:pPr>
      <w:r>
        <w:t>NIST Cybersecurity Framework 2.0</w:t>
      </w:r>
    </w:p>
    <w:p>
      <w:r>
        <w:t>**Anticloud FZ LLE — PAX L5 Narrow L2 General 27B**</w:t>
      </w:r>
    </w:p>
    <w:p>
      <w:r>
        <w:t>Run: 2026-10-02T10:04:57.496928Z | Framework ID: 06_NIST_CSFW</w:t>
      </w:r>
    </w:p>
    <w:p>
      <w:pPr>
        <w:pStyle w:val="Heading2"/>
      </w:pPr>
      <w:r>
        <w:t>Standard</w:t>
      </w:r>
    </w:p>
    <w:p>
      <w:r>
        <w:t>NIST CSF 2.0 (2024)</w:t>
      </w:r>
    </w:p>
    <w:p>
      <w:pPr>
        <w:pStyle w:val="Heading2"/>
      </w:pPr>
      <w:r>
        <w:t>Result</w:t>
      </w:r>
    </w:p>
    <w:p>
      <w:r>
        <w:t>PASS — IDENTIFY, PROTECT, DETECT, RESPOND, RECOVER, GOVERN all addressed</w:t>
      </w:r>
    </w:p>
    <w:p>
      <w:pPr>
        <w:pStyle w:val="Heading2"/>
      </w:pPr>
      <w:r>
        <w:t>Score</w:t>
      </w:r>
    </w:p>
    <w:p>
      <w:r>
        <w:t>Tier 4 (Adaptive)</w:t>
      </w:r>
    </w:p>
    <w:p>
      <w:pPr>
        <w:pStyle w:val="Heading2"/>
      </w:pPr>
      <w:r>
        <w:t>Notes</w:t>
      </w:r>
    </w:p>
    <w:p>
      <w:r>
        <w:t>Observability 17,558 spans/sec satisfies DETECT.CM; CRDT convergence satisfies RECOVER.RP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be508e72c872ae257034365cabf7a2c65677345c035021c815911e6f7bf80668 |</w:t>
      </w:r>
    </w:p>
    <w:p>
      <w:r>
        <w:t>| SHA3-256 (chain) | a6cee51a638e6d3022e5a98b627c131af5ceb8659b59433d8fee2d759b261ae5 |</w:t>
      </w:r>
    </w:p>
    <w:p>
      <w:r>
        <w:t>| Timestamp UTC | 2026-10-02T10:04:57.496928Z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