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15 Gdpr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GDPR (EU) 2016/679 + EDPB Guidelines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2026-10-02T09:24:57.626148Z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15_GDPR</w:t>
            </w:r>
          </w:p>
        </w:tc>
      </w:tr>
    </w:tbl>
    <w:p>
      <w:pPr>
        <w:pStyle w:val="Heading2"/>
      </w:pPr>
      <w:r>
        <w:t>Standard</w:t>
      </w:r>
    </w:p>
    <w:p>
      <w:r>
        <w:t>GDPR Art. 25 (Privacy by Design), Art. 32 (Security), Art. 35 (DPIA)</w:t>
      </w:r>
    </w:p>
    <w:p>
      <w:pPr>
        <w:pStyle w:val="Heading2"/>
      </w:pPr>
      <w:r>
        <w:t>Result</w:t>
      </w:r>
    </w:p>
    <w:p>
      <w:r>
        <w:t>PASS — Privacy by Design: all data stays local; Art. 32: AES-256-GCM; Art. 17 (Right to Erasure): forget() implemented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SovereignMemory.forget() implements Art. 17; zero cloud egress satisfies Art. 44 (transfer restrictions)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843f35e34773c4e8f239a5c18b004a8c4c7b16b827d0c27488d4c51b8847a84d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17c70e2e2cf6da50c4fa84c48e25747ab7e3f41e6fe3999ed274aa0ad1a68082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2026-10-02T09:24:57.626148Z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