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24 MITRE ATTCK</w:t>
      </w:r>
    </w:p>
    <w:p>
      <w:pPr>
        <w:pStyle w:val="Heading1"/>
      </w:pPr>
      <w:r>
        <w:t>MITRE ATT&amp;CK v15 + MITRE ATLAS (AI Threats)</w:t>
      </w:r>
    </w:p>
    <w:p>
      <w:r>
        <w:t>**Anticloud FZ LLE — PAX L5 Narrow L2 General 27B**</w:t>
      </w:r>
    </w:p>
    <w:p>
      <w:r>
        <w:t>Run: 2026-10-02T11:13:55.560198Z | Framework ID: 24_MITRE_ATTCK</w:t>
      </w:r>
    </w:p>
    <w:p>
      <w:pPr>
        <w:pStyle w:val="Heading2"/>
      </w:pPr>
      <w:r>
        <w:t>Standard</w:t>
      </w:r>
    </w:p>
    <w:p>
      <w:r>
        <w:t>MITRE ATT&amp;CK Enterprise v15 (2024), MITRE ATLAS v4.5</w:t>
      </w:r>
    </w:p>
    <w:p>
      <w:pPr>
        <w:pStyle w:val="Heading2"/>
      </w:pPr>
      <w:r>
        <w:t>Result</w:t>
      </w:r>
    </w:p>
    <w:p>
      <w:r>
        <w:t>PASS — T1190 (Public-Facing App): N/A (air-gapped); T1003 (Credential Dump): mitigated by Zero Trust; AML.T0043 (Prompt Injection): mitigated</w:t>
      </w:r>
    </w:p>
    <w:p>
      <w:pPr>
        <w:pStyle w:val="Heading2"/>
      </w:pPr>
      <w:r>
        <w:t>Score</w:t>
      </w:r>
    </w:p>
    <w:p>
      <w:r>
        <w:t>DQI: 99/100, PQI: 99/100, IQI: 98/100</w:t>
      </w:r>
    </w:p>
    <w:p>
      <w:pPr>
        <w:pStyle w:val="Heading2"/>
      </w:pPr>
      <w:r>
        <w:t>Notes</w:t>
      </w:r>
    </w:p>
    <w:p>
      <w:r>
        <w:t>Zero Trust mTLS prevents lateral movement; Observability detects anomalous span patterns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778a7998c450c7145ecb577a64d36b805b4e023faafe2f6587957d9d61cdcfdb |</w:t>
      </w:r>
    </w:p>
    <w:p>
      <w:r>
        <w:t>| SHA3-256 (chain) | c8a503c8bb78db5badd2892e7e5c17e256dd57b53c770da992b63801528d0ed4 |</w:t>
      </w:r>
    </w:p>
    <w:p>
      <w:r>
        <w:t>| Timestamp UTC | 2026-10-02T11:13:55.560198Z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