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04 NIST AI RMF</w:t>
      </w:r>
    </w:p>
    <w:p>
      <w:pPr>
        <w:pStyle w:val="Heading1"/>
      </w:pPr>
      <w:r>
        <w:t>NIST AI Risk Management Framework 1.0 + GenAI Profile</w:t>
      </w:r>
    </w:p>
    <w:p>
      <w:r>
        <w:t>**Anticloud FZ LLE — PAX L5 Narrow L2 General 27B**</w:t>
      </w:r>
    </w:p>
    <w:p>
      <w:r>
        <w:t>Run: 2026-10-02T11:16:32.855670Z | Framework ID: 04_NIST_AI_RMF</w:t>
      </w:r>
    </w:p>
    <w:p>
      <w:pPr>
        <w:pStyle w:val="Heading2"/>
      </w:pPr>
      <w:r>
        <w:t>Standard</w:t>
      </w:r>
    </w:p>
    <w:p>
      <w:r>
        <w:t>NIST AI RMF 1.0 (2023), NIST AI 600-1 (2024)</w:t>
      </w:r>
    </w:p>
    <w:p>
      <w:pPr>
        <w:pStyle w:val="Heading2"/>
      </w:pPr>
      <w:r>
        <w:t>Result</w:t>
      </w:r>
    </w:p>
    <w:p>
      <w:r>
        <w:t>PASS — GOVERN 98%, MAP 97%, MEASURE 96%, MANAGE 99%</w:t>
      </w:r>
    </w:p>
    <w:p>
      <w:pPr>
        <w:pStyle w:val="Heading2"/>
      </w:pPr>
      <w:r>
        <w:t>Score</w:t>
      </w:r>
    </w:p>
    <w:p>
      <w:r>
        <w:t>Overall maturity: 97.5%</w:t>
      </w:r>
    </w:p>
    <w:p>
      <w:pPr>
        <w:pStyle w:val="Heading2"/>
      </w:pPr>
      <w:r>
        <w:t>Notes</w:t>
      </w:r>
    </w:p>
    <w:p>
      <w:r>
        <w:t>PAX L5 Narrow L2 General 27B documented under GOVERN 1.1; Provenance chain covers MEASURE 2.5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cbe79adf2b1b0c5ac2059649e46faad0f1baa5867cd254c0526a9d5e6d004ef1 |</w:t>
      </w:r>
    </w:p>
    <w:p>
      <w:r>
        <w:t>| SHA3-256 (chain) | 98cf516adfb840100ec7efb5b842b076ea46764261e9452799a8307357b4656b |</w:t>
      </w:r>
    </w:p>
    <w:p>
      <w:r>
        <w:t>| Timestamp UTC | 2026-10-02T11:16:32.855670Z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