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19 SOX ITGC</w:t>
      </w:r>
    </w:p>
    <w:p>
      <w:pPr>
        <w:pStyle w:val="Heading1"/>
      </w:pPr>
      <w:r>
        <w:t>SOX IT General Controls (Section 404)</w:t>
      </w:r>
    </w:p>
    <w:p>
      <w:r>
        <w:t>**Anticloud FZ LLE — PAX L5 Narrow L2 General 27B**</w:t>
      </w:r>
    </w:p>
    <w:p>
      <w:r>
        <w:t>Run: 2026-10-02T10:01:17.440820Z | Framework ID: 19_SOX_ITGC</w:t>
      </w:r>
    </w:p>
    <w:p>
      <w:pPr>
        <w:pStyle w:val="Heading2"/>
      </w:pPr>
      <w:r>
        <w:t>Standard</w:t>
      </w:r>
    </w:p>
    <w:p>
      <w:r>
        <w:t>Sarbanes-Oxley Act 2002, Section 404, PCAOB AS 2201</w:t>
      </w:r>
    </w:p>
    <w:p>
      <w:pPr>
        <w:pStyle w:val="Heading2"/>
      </w:pPr>
      <w:r>
        <w:t>Result</w:t>
      </w:r>
    </w:p>
    <w:p>
      <w:r>
        <w:t>PASS — Change Management, Access Controls, Computer Operations, Program Development all covered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AIOSS immutable ledger provides SOX-compliant audit trail; Provenance chain covers change management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3b06e15420064c27f945f6e81fbb0fb628e7d4f4830fe05fde648a7f266ec471 |</w:t>
      </w:r>
    </w:p>
    <w:p>
      <w:r>
        <w:t>| SHA3-256 (chain) | df61b54467192f760a386b18ea5562cace48b354bd1c464ef33233bc8b769498 |</w:t>
      </w:r>
    </w:p>
    <w:p>
      <w:r>
        <w:t>| Timestamp UTC | 2026-10-02T10:01:17.440820Z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