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SOC2 TypeII</w:t>
      </w:r>
    </w:p>
    <w:p>
      <w:pPr>
        <w:pStyle w:val="Heading1"/>
      </w:pPr>
      <w:r>
        <w:t>SOC 2 Type II (AICPA TSC 2017)</w:t>
      </w:r>
    </w:p>
    <w:p>
      <w:r>
        <w:t>**Anticloud FZ LLE — PAX L5 Narrow L2 General 27B**</w:t>
      </w:r>
    </w:p>
    <w:p>
      <w:r>
        <w:t>Run: 2026-10-02T10:33:25.433690Z | Framework ID: 02_SOC2_TypeII</w:t>
      </w:r>
    </w:p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73cad8713f44a4498a4c72cc24375239d0bb655b860a364b047b3e6594b4d15b |</w:t>
      </w:r>
    </w:p>
    <w:p>
      <w:r>
        <w:t>| SHA3-256 (chain) | ed6e77959dbaea8ce27da46e5c81c93f864f2da3f8644f21e1e6aef790b415d0 |</w:t>
      </w:r>
    </w:p>
    <w:p>
      <w:r>
        <w:t>| Timestamp UTC | 2026-10-02T10:33:25.433690Z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