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18 DORA</w:t>
      </w:r>
    </w:p>
    <w:p>
      <w:pPr>
        <w:pStyle w:val="Heading1"/>
      </w:pPr>
      <w:r>
        <w:t>DORA (EU Digital Operational Resilience Act) 2022/2554</w:t>
      </w:r>
    </w:p>
    <w:p>
      <w:r>
        <w:t>**Anticloud FZ LLE — PAX L5 Narrow L2 General 27B**</w:t>
      </w:r>
    </w:p>
    <w:p>
      <w:r>
        <w:t>Run: 2026-10-02T10:05:05.800913Z | Framework ID: 18_DORA</w:t>
      </w:r>
    </w:p>
    <w:p>
      <w:pPr>
        <w:pStyle w:val="Heading2"/>
      </w:pPr>
      <w:r>
        <w:t>Standard</w:t>
      </w:r>
    </w:p>
    <w:p>
      <w:r>
        <w:t>DORA Regulation (EU) 2022/2554, RTS (2024)</w:t>
      </w:r>
    </w:p>
    <w:p>
      <w:pPr>
        <w:pStyle w:val="Heading2"/>
      </w:pPr>
      <w:r>
        <w:t>Result</w:t>
      </w:r>
    </w:p>
    <w:p>
      <w:r>
        <w:t>PASS — Art. 9 (ICT Security), Art. 10 (Detection), Art. 11 (Recovery), Art. 12 (Backup)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CRDT convergence satisfies Art. 12 recovery; Observability satisfies Art. 10 detection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11e0f438bc3381c061d3d029bc3552f3c1b2901509fd611d6501cd620872269b |</w:t>
      </w:r>
    </w:p>
    <w:p>
      <w:r>
        <w:t>| SHA3-256 (chain) | 4aec7b4c43c40858904d3fd5d92d3977eb03b5c1e2b78d899d4b9621082fc831 |</w:t>
      </w:r>
    </w:p>
    <w:p>
      <w:r>
        <w:t>| Timestamp UTC | 2026-10-02T10:05:05.800913Z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