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23 SBOM</w:t>
      </w:r>
    </w:p>
    <w:p>
      <w:pPr>
        <w:pStyle w:val="Heading1"/>
      </w:pPr>
      <w:r>
        <w:t>SBOM (Software Bill of Materials) — NTIA/CISA Minimum Elements</w:t>
      </w:r>
    </w:p>
    <w:p>
      <w:r>
        <w:t>**Anticloud FZ LLE — PAX L5 Narrow L2 General 27B**</w:t>
      </w:r>
    </w:p>
    <w:p>
      <w:r>
        <w:t>Run: 2026-10-02T10:03:27.565759Z | Framework ID: 23_SBOM</w:t>
      </w:r>
    </w:p>
    <w:p>
      <w:pPr>
        <w:pStyle w:val="Heading2"/>
      </w:pPr>
      <w:r>
        <w:t>Standard</w:t>
      </w:r>
    </w:p>
    <w:p>
      <w:r>
        <w:t>NTIA SBOM Minimum Elements (2021), EO 14028 (2021), CISA SBOM guidance</w:t>
      </w:r>
    </w:p>
    <w:p>
      <w:pPr>
        <w:pStyle w:val="Heading2"/>
      </w:pPr>
      <w:r>
        <w:t>Result</w:t>
      </w:r>
    </w:p>
    <w:p>
      <w:r>
        <w:t>PASS — Supplier, Component, Version, Hash, Relationship all captured in manifest</w:t>
      </w:r>
    </w:p>
    <w:p>
      <w:pPr>
        <w:pStyle w:val="Heading2"/>
      </w:pPr>
      <w:r>
        <w:t>Score</w:t>
      </w:r>
    </w:p>
    <w:p>
      <w:r>
        <w:t>MINIMUM ELEMENTS: ALL PRESENT</w:t>
      </w:r>
    </w:p>
    <w:p>
      <w:pPr>
        <w:pStyle w:val="Heading2"/>
      </w:pPr>
      <w:r>
        <w:t>Notes</w:t>
      </w:r>
    </w:p>
    <w:p>
      <w:r>
        <w:t>SingleBinary.generate_build_manifest() produces SBOM-compatible manifest with SHA3-256 hashes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acf71857d6ede6b7ab48884a3ee83c58e351f0bd84e2cbb984d5a7440d0800c8 |</w:t>
      </w:r>
    </w:p>
    <w:p>
      <w:r>
        <w:t>| SHA3-256 (chain) | 6732e3f09d4f25e601a466f36a6b6d06ccbe258903e94757e4a04a6f0a9a03fe |</w:t>
      </w:r>
    </w:p>
    <w:p>
      <w:r>
        <w:t>| Timestamp UTC | 2026-10-02T10:03:27.565759Z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