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Environment</w:t>
      </w:r>
    </w:p>
    <w:p>
      <w:pPr>
        <w:pStyle w:val="Heading1"/>
      </w:pPr>
      <w:r>
        <w:t>Commitment to Environment — OHPC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OHPC | Category: SUPERCOMPUTER</w:t>
      </w:r>
    </w:p>
    <w:p>
      <w:r>
        <w:rPr>
          <w:sz w:val="22"/>
        </w:rPr>
        <w:t>Upstream: https://github.com/openhpc/ohpc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environment for the Anticloud integration of OHPC.</w:t>
      </w:r>
    </w:p>
    <w:p/>
    <w:p>
      <w:r>
        <w:rPr>
          <w:sz w:val="22"/>
        </w:rPr>
        <w:t>OpenHPC cluster software stack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OHPC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