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18 DORA</w:t>
      </w:r>
    </w:p>
    <w:p>
      <w:pPr>
        <w:pStyle w:val="Heading1"/>
      </w:pPr>
      <w:r>
        <w:t>DORA (EU Digital Operational Resilience Act) 2022/2554</w:t>
      </w:r>
    </w:p>
    <w:p>
      <w:r>
        <w:t>**Anticloud FZ LLE — PAX L5 Narrow L2 General 27B**</w:t>
      </w:r>
    </w:p>
    <w:p>
      <w:r>
        <w:t>Run: 2026-10-02T09:49:49.037608Z | Framework ID: 18_DORA</w:t>
      </w:r>
    </w:p>
    <w:p>
      <w:pPr>
        <w:pStyle w:val="Heading2"/>
      </w:pPr>
      <w:r>
        <w:t>Standard</w:t>
      </w:r>
    </w:p>
    <w:p>
      <w:r>
        <w:t>DORA Regulation (EU) 2022/2554, RTS (2024)</w:t>
      </w:r>
    </w:p>
    <w:p>
      <w:pPr>
        <w:pStyle w:val="Heading2"/>
      </w:pPr>
      <w:r>
        <w:t>Result</w:t>
      </w:r>
    </w:p>
    <w:p>
      <w:r>
        <w:t>PASS — Art. 9 (ICT Security), Art. 10 (Detection), Art. 11 (Recovery), Art. 12 (Backup)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CRDT convergence satisfies Art. 12 recovery; Observability satisfies Art. 10 detection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11e0f438bc3381c061d3d029bc3552f3c1b2901509fd611d6501cd620872269b |</w:t>
      </w:r>
    </w:p>
    <w:p>
      <w:r>
        <w:t>| SHA3-256 (chain) | 2344b058310961ee906220a4d1ad84dc60cfecd469ea4417a1c2fe886149622d |</w:t>
      </w:r>
    </w:p>
    <w:p>
      <w:r>
        <w:t>| Timestamp UTC | 2026-10-02T09:49:49.037608Z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