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 SOC2 TypeII</w:t>
      </w:r>
    </w:p>
    <w:p>
      <w:pPr>
        <w:pStyle w:val="Heading1"/>
      </w:pPr>
      <w:r>
        <w:t>SOC 2 Type II (AICPA TSC 2017)</w:t>
      </w:r>
    </w:p>
    <w:p>
      <w:r>
        <w:t>**Anticloud FZ LLE — PAX L5 Narrow L2 General 27B**</w:t>
      </w:r>
    </w:p>
    <w:p>
      <w:r>
        <w:t>Run: 2026-10-02T10:08:32.281225Z | Framework ID: 02_SOC2_TypeII</w:t>
      </w:r>
    </w:p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73cad8713f44a4498a4c72cc24375239d0bb655b860a364b047b3e6594b4d15b |</w:t>
      </w:r>
    </w:p>
    <w:p>
      <w:r>
        <w:t>| SHA3-256 (chain) | c307bf8136883e16f82b5c820254f01d66836ff366e149f0e6083da3d87db7c6 |</w:t>
      </w:r>
    </w:p>
    <w:p>
      <w:r>
        <w:t>| Timestamp UTC | 2026-10-02T10:08:32.281225Z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