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02 SOC2 TypeII</w:t>
      </w:r>
    </w:p>
    <w:p>
      <w:pPr>
        <w:pStyle w:val="Heading1"/>
      </w:pPr>
      <w:r>
        <w:t>SOC 2 Type II (AICPA TSC 2017)</w:t>
      </w:r>
    </w:p>
    <w:p>
      <w:r>
        <w:t>**Anticloud FZ LLE — PAX L5 Narrow L2 General 27B**</w:t>
      </w:r>
    </w:p>
    <w:p>
      <w:r>
        <w:t>Run: 2026-10-02T10:16:47.631915Z | Framework ID: 02_SOC2_TypeII</w:t>
      </w:r>
    </w:p>
    <w:p>
      <w:pPr>
        <w:pStyle w:val="Heading2"/>
      </w:pPr>
      <w:r>
        <w:t>Standard</w:t>
      </w:r>
    </w:p>
    <w:p>
      <w:r>
        <w:t>AICPA Trust Services Criteria 2017 + 2023 AI supplement</w:t>
      </w:r>
    </w:p>
    <w:p>
      <w:pPr>
        <w:pStyle w:val="Heading2"/>
      </w:pPr>
      <w:r>
        <w:t>Result</w:t>
      </w:r>
    </w:p>
    <w:p>
      <w:r>
        <w:t>PASS — CC6 (Logical Access), CC7 (System Ops), CC8 (Change Mgmt), A1 (Availability), C1 (Confidentiality)</w:t>
      </w:r>
    </w:p>
    <w:p>
      <w:pPr>
        <w:pStyle w:val="Heading2"/>
      </w:pPr>
      <w:r>
        <w:t>Score</w:t>
      </w:r>
    </w:p>
    <w:p>
      <w:r>
        <w:t>93% criteria met</w:t>
      </w:r>
    </w:p>
    <w:p>
      <w:pPr>
        <w:pStyle w:val="Heading2"/>
      </w:pPr>
      <w:r>
        <w:t>Notes</w:t>
      </w:r>
    </w:p>
    <w:p>
      <w:r>
        <w:t>SovereignMemory AES-256-GCM satisfies CC6.7; Provenance chain satisfies CC7.2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73cad8713f44a4498a4c72cc24375239d0bb655b860a364b047b3e6594b4d15b |</w:t>
      </w:r>
    </w:p>
    <w:p>
      <w:r>
        <w:t>| SHA3-256 (chain) | 6119725185562b7753777b573e66ea0de9392e72782bdfdf6ba390e31dc8fdee |</w:t>
      </w:r>
    </w:p>
    <w:p>
      <w:r>
        <w:t>| Timestamp UTC | 2026-10-02T10:16:47.631915Z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