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Readiness Assessment — OPENBIM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Company: Anticloud FZ LLE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Model: 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Category: ARCHITECTURAL_DESIGN</w:t>
            </w:r>
          </w:p>
        </w:tc>
        <w:tc>
          <w:tcPr>
            <w:tcW w:type="dxa" w:w="4320"/>
          </w:tcPr>
          <w:p>
            <w:r/>
            <w:r>
              <w:t>Assessment Date: 2026-Q4</w:t>
            </w:r>
          </w:p>
        </w:tc>
      </w:tr>
    </w:tbl>
    <w:p>
      <w:pPr>
        <w:pStyle w:val="Heading2"/>
      </w:pPr>
      <w:r>
        <w:t>Executive Summary</w:t>
      </w:r>
    </w:p>
    <w:p>
      <w:r>
        <w:t>OPENBIM meets FedRAMP Moderate baseline requirements through offline-first architecture,</w:t>
      </w:r>
    </w:p>
    <w:p>
      <w:r>
        <w:t>eliminating the primary attack surface of cloud-dependent systems.</w:t>
      </w:r>
    </w:p>
    <w:p>
      <w:pPr>
        <w:pStyle w:val="Heading2"/>
      </w:pPr>
      <w:r>
        <w:t>Control Families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 Family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Controls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Notes</w:t>
            </w:r>
          </w:p>
        </w:tc>
      </w:tr>
      <w:tr>
        <w:tc>
          <w:tcPr>
            <w:tcW w:type="dxa" w:w="2160"/>
          </w:tcPr>
          <w:p>
            <w:r/>
            <w:r>
              <w:t>AC — Access Control</w:t>
            </w:r>
          </w:p>
        </w:tc>
        <w:tc>
          <w:tcPr>
            <w:tcW w:type="dxa" w:w="2160"/>
          </w:tcPr>
          <w:p>
            <w:r/>
            <w:r>
              <w:t>AC-1 to AC-25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 mTLS mesh enforced</w:t>
            </w:r>
          </w:p>
        </w:tc>
      </w:tr>
      <w:tr>
        <w:tc>
          <w:tcPr>
            <w:tcW w:type="dxa" w:w="2160"/>
          </w:tcPr>
          <w:p>
            <w:r/>
            <w:r>
              <w:t>AU — Audit &amp; Accountability</w:t>
            </w:r>
          </w:p>
        </w:tc>
        <w:tc>
          <w:tcPr>
            <w:tcW w:type="dxa" w:w="2160"/>
          </w:tcPr>
          <w:p>
            <w:r/>
            <w:r>
              <w:t>AU-1 to AU-16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append-only ledger</w:t>
            </w:r>
          </w:p>
        </w:tc>
      </w:tr>
      <w:tr>
        <w:tc>
          <w:tcPr>
            <w:tcW w:type="dxa" w:w="2160"/>
          </w:tcPr>
          <w:p>
            <w:r/>
            <w:r>
              <w:t>CA — Assessment &amp; Auth</w:t>
            </w:r>
          </w:p>
        </w:tc>
        <w:tc>
          <w:tcPr>
            <w:tcW w:type="dxa" w:w="2160"/>
          </w:tcPr>
          <w:p>
            <w:r/>
            <w:r>
              <w:t>CA-1 to CA-9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Provenance chain + CA issuance</w:t>
            </w:r>
          </w:p>
        </w:tc>
      </w:tr>
      <w:tr>
        <w:tc>
          <w:tcPr>
            <w:tcW w:type="dxa" w:w="2160"/>
          </w:tcPr>
          <w:p>
            <w:r/>
            <w:r>
              <w:t>CM — Config Management</w:t>
            </w:r>
          </w:p>
        </w:tc>
        <w:tc>
          <w:tcPr>
            <w:tcW w:type="dxa" w:w="2160"/>
          </w:tcPr>
          <w:p>
            <w:r/>
            <w:r>
              <w:t>CM-1 to CM-11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Deterministic builds, source hash</w:t>
            </w:r>
          </w:p>
        </w:tc>
      </w:tr>
      <w:tr>
        <w:tc>
          <w:tcPr>
            <w:tcW w:type="dxa" w:w="2160"/>
          </w:tcPr>
          <w:p>
            <w:r/>
            <w:r>
              <w:t>CP — Contingency Planning</w:t>
            </w:r>
          </w:p>
        </w:tc>
        <w:tc>
          <w:tcPr>
            <w:tcW w:type="dxa" w:w="2160"/>
          </w:tcPr>
          <w:p>
            <w:r/>
            <w:r>
              <w:t>CP-1 to CP-13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Offline-first, no cloud dependency</w:t>
            </w:r>
          </w:p>
        </w:tc>
      </w:tr>
      <w:tr>
        <w:tc>
          <w:tcPr>
            <w:tcW w:type="dxa" w:w="2160"/>
          </w:tcPr>
          <w:p>
            <w:r/>
            <w:r>
              <w:t>IA — Identification &amp; Auth</w:t>
            </w:r>
          </w:p>
        </w:tc>
        <w:tc>
          <w:tcPr>
            <w:tcW w:type="dxa" w:w="2160"/>
          </w:tcPr>
          <w:p>
            <w:r/>
            <w:r>
              <w:t>IA-1 to IA-12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mTLS client certs, CRDT identity</w:t>
            </w:r>
          </w:p>
        </w:tc>
      </w:tr>
      <w:tr>
        <w:tc>
          <w:tcPr>
            <w:tcW w:type="dxa" w:w="2160"/>
          </w:tcPr>
          <w:p>
            <w:r/>
            <w:r>
              <w:t>IR — Incident Response</w:t>
            </w:r>
          </w:p>
        </w:tc>
        <w:tc>
          <w:tcPr>
            <w:tcW w:type="dxa" w:w="2160"/>
          </w:tcPr>
          <w:p>
            <w:r/>
            <w:r>
              <w:t>IR-1 to IR-10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Local observability stack</w:t>
            </w:r>
          </w:p>
        </w:tc>
      </w:tr>
      <w:tr>
        <w:tc>
          <w:tcPr>
            <w:tcW w:type="dxa" w:w="2160"/>
          </w:tcPr>
          <w:p>
            <w:r/>
            <w:r>
              <w:t>MA — Maintenance</w:t>
            </w:r>
          </w:p>
        </w:tc>
        <w:tc>
          <w:tcPr>
            <w:tcW w:type="dxa" w:w="2160"/>
          </w:tcPr>
          <w:p>
            <w:r/>
            <w:r>
              <w:t>MA-1 to MA-6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Single binary, deterministic update</w:t>
            </w:r>
          </w:p>
        </w:tc>
      </w:tr>
      <w:tr>
        <w:tc>
          <w:tcPr>
            <w:tcW w:type="dxa" w:w="2160"/>
          </w:tcPr>
          <w:p>
            <w:r/>
            <w:r>
              <w:t>MP — Media Protection</w:t>
            </w:r>
          </w:p>
        </w:tc>
        <w:tc>
          <w:tcPr>
            <w:tcW w:type="dxa" w:w="2160"/>
          </w:tcPr>
          <w:p>
            <w:r/>
            <w:r>
              <w:t>MP-1 to MP-8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AES-256-GCM at rest</w:t>
            </w:r>
          </w:p>
        </w:tc>
      </w:tr>
      <w:tr>
        <w:tc>
          <w:tcPr>
            <w:tcW w:type="dxa" w:w="2160"/>
          </w:tcPr>
          <w:p>
            <w:r/>
            <w:r>
              <w:t>PE — Physical &amp; Env</w:t>
            </w:r>
          </w:p>
        </w:tc>
        <w:tc>
          <w:tcPr>
            <w:tcW w:type="dxa" w:w="2160"/>
          </w:tcPr>
          <w:p>
            <w:r/>
            <w:r>
              <w:t>PE-1 to PE-23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PL — Planning</w:t>
            </w:r>
          </w:p>
        </w:tc>
        <w:tc>
          <w:tcPr>
            <w:tcW w:type="dxa" w:w="2160"/>
          </w:tcPr>
          <w:p>
            <w:r/>
            <w:r>
              <w:t>PL-1 to PL-11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Documented in OFFICIAL_BENCHMARKS</w:t>
            </w:r>
          </w:p>
        </w:tc>
      </w:tr>
      <w:tr>
        <w:tc>
          <w:tcPr>
            <w:tcW w:type="dxa" w:w="2160"/>
          </w:tcPr>
          <w:p>
            <w:r/>
            <w:r>
              <w:t>PS — Personnel Security</w:t>
            </w:r>
          </w:p>
        </w:tc>
        <w:tc>
          <w:tcPr>
            <w:tcW w:type="dxa" w:w="2160"/>
          </w:tcPr>
          <w:p>
            <w:r/>
            <w:r>
              <w:t>PS-1 to PS-9</w:t>
            </w:r>
          </w:p>
        </w:tc>
        <w:tc>
          <w:tcPr>
            <w:tcW w:type="dxa" w:w="2160"/>
          </w:tcPr>
          <w:p>
            <w:r/>
            <w:r>
              <w:t>N/A</w:t>
            </w:r>
          </w:p>
        </w:tc>
        <w:tc>
          <w:tcPr>
            <w:tcW w:type="dxa" w:w="2160"/>
          </w:tcPr>
          <w:p>
            <w:r/>
            <w:r>
              <w:t>Customer controlled</w:t>
            </w:r>
          </w:p>
        </w:tc>
      </w:tr>
      <w:tr>
        <w:tc>
          <w:tcPr>
            <w:tcW w:type="dxa" w:w="2160"/>
          </w:tcPr>
          <w:p>
            <w:r/>
            <w:r>
              <w:t>RA — Risk Assessment</w:t>
            </w:r>
          </w:p>
        </w:tc>
        <w:tc>
          <w:tcPr>
            <w:tcW w:type="dxa" w:w="2160"/>
          </w:tcPr>
          <w:p>
            <w:r/>
            <w:r>
              <w:t>RA-1 to RA-9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Threat model in 16_VULNERABILITY_MANAGEMENT</w:t>
            </w:r>
          </w:p>
        </w:tc>
      </w:tr>
      <w:tr>
        <w:tc>
          <w:tcPr>
            <w:tcW w:type="dxa" w:w="2160"/>
          </w:tcPr>
          <w:p>
            <w:r/>
            <w:r>
              <w:t>SA — System Acquisition</w:t>
            </w:r>
          </w:p>
        </w:tc>
        <w:tc>
          <w:tcPr>
            <w:tcW w:type="dxa" w:w="2160"/>
          </w:tcPr>
          <w:p>
            <w:r/>
            <w:r>
              <w:t>SA-1 to SA-22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SBOM embedded in binary</w:t>
            </w:r>
          </w:p>
        </w:tc>
      </w:tr>
      <w:tr>
        <w:tc>
          <w:tcPr>
            <w:tcW w:type="dxa" w:w="2160"/>
          </w:tcPr>
          <w:p>
            <w:r/>
            <w:r>
              <w:t>SC — System &amp; Comm</w:t>
            </w:r>
          </w:p>
        </w:tc>
        <w:tc>
          <w:tcPr>
            <w:tcW w:type="dxa" w:w="2160"/>
          </w:tcPr>
          <w:p>
            <w:r/>
            <w:r>
              <w:t>SC-1 to SC-51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Zero-trust, TLS 1.3, no plaintext</w:t>
            </w:r>
          </w:p>
        </w:tc>
      </w:tr>
      <w:tr>
        <w:tc>
          <w:tcPr>
            <w:tcW w:type="dxa" w:w="2160"/>
          </w:tcPr>
          <w:p>
            <w:r/>
            <w:r>
              <w:t>SI — System Integrity</w:t>
            </w:r>
          </w:p>
        </w:tc>
        <w:tc>
          <w:tcPr>
            <w:tcW w:type="dxa" w:w="2160"/>
          </w:tcPr>
          <w:p>
            <w:r/>
            <w:r>
              <w:t>SI-1 to SI-23</w:t>
            </w:r>
          </w:p>
        </w:tc>
        <w:tc>
          <w:tcPr>
            <w:tcW w:type="dxa" w:w="2160"/>
          </w:tcPr>
          <w:p>
            <w:r/>
            <w:r>
              <w:t>PASS</w:t>
            </w:r>
          </w:p>
        </w:tc>
        <w:tc>
          <w:tcPr>
            <w:tcW w:type="dxa" w:w="2160"/>
          </w:tcPr>
          <w:p>
            <w:r/>
            <w:r>
              <w:t>AIOSS + Provenance chain</w:t>
            </w:r>
          </w:p>
        </w:tc>
      </w:tr>
    </w:tbl>
    <w:p>
      <w:pPr>
        <w:pStyle w:val="Heading2"/>
      </w:pPr>
      <w:r>
        <w:t>Key Differentiators vs Cloud-Dependent Systems</w:t>
      </w:r>
    </w:p>
    <w:p>
      <w:pPr>
        <w:pStyle w:val="ListBullet"/>
      </w:pPr>
      <w:r>
        <w:rPr>
          <w:b/>
        </w:rPr>
        <w:t>No data egress to cloud</w:t>
      </w:r>
      <w:r>
        <w:t xml:space="preserve"> — FedRAMP cloud boundary risk eliminated entirely</w:t>
      </w:r>
    </w:p>
    <w:p>
      <w:pPr>
        <w:pStyle w:val="ListBullet"/>
      </w:pPr>
      <w:r>
        <w:rPr>
          <w:b/>
        </w:rPr>
        <w:t>AIOSS ledger</w:t>
      </w:r>
      <w:r>
        <w:t xml:space="preserve"> — continuous monitoring without external SIEM</w:t>
      </w:r>
    </w:p>
    <w:p>
      <w:pPr>
        <w:pStyle w:val="ListBullet"/>
      </w:pPr>
      <w:r>
        <w:rPr>
          <w:b/>
        </w:rPr>
        <w:t>mTLS everywhere</w:t>
      </w:r>
      <w:r>
        <w:t xml:space="preserve"> — SC-8, SC-12, SC-13, SC-17 all satisfied by zero-trust mesh</w:t>
      </w:r>
    </w:p>
    <w:p>
      <w:pPr>
        <w:pStyle w:val="ListBullet"/>
      </w:pPr>
      <w:r>
        <w:rPr>
          <w:b/>
        </w:rPr>
        <w:t>Deterministic builds</w:t>
      </w:r>
      <w:r>
        <w:t xml:space="preserve"> — SA-10 (developer security testing) automated and reproducible</w:t>
      </w:r>
    </w:p>
    <w:p>
      <w:pPr>
        <w:pStyle w:val="Heading2"/>
      </w:pPr>
      <w:r>
        <w:t>Attestation</w:t>
      </w:r>
    </w:p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