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Economics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Unit Economics — OPENCAAD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Cost vs Cloud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Cloud (Annual)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Anticloud (One-time)</w:t>
            </w:r>
          </w:p>
        </w:tc>
      </w:tr>
      <w:tr>
        <w:tc>
          <w:tcPr>
            <w:tcW w:type="dxa" w:w="2880"/>
          </w:tcPr>
          <w:p>
            <w:r/>
            <w:r>
              <w:t>AI inference API</w:t>
            </w:r>
          </w:p>
        </w:tc>
        <w:tc>
          <w:tcPr>
            <w:tcW w:type="dxa" w:w="2880"/>
          </w:tcPr>
          <w:p>
            <w:r/>
            <w:r>
              <w:t>$12,000–$120,000</w:t>
            </w:r>
          </w:p>
        </w:tc>
        <w:tc>
          <w:tcPr>
            <w:tcW w:type="dxa" w:w="2880"/>
          </w:tcPr>
          <w:p>
            <w:r/>
            <w:r>
              <w:t>$0 (local PAX)</w:t>
            </w:r>
          </w:p>
        </w:tc>
      </w:tr>
      <w:tr>
        <w:tc>
          <w:tcPr>
            <w:tcW w:type="dxa" w:w="2880"/>
          </w:tcPr>
          <w:p>
            <w:r/>
            <w:r>
              <w:t>Cloud hosting</w:t>
            </w:r>
          </w:p>
        </w:tc>
        <w:tc>
          <w:tcPr>
            <w:tcW w:type="dxa" w:w="2880"/>
          </w:tcPr>
          <w:p>
            <w:r/>
            <w:r>
              <w:t>$6,000–$60,000</w:t>
            </w:r>
          </w:p>
        </w:tc>
        <w:tc>
          <w:tcPr>
            <w:tcW w:type="dxa" w:w="2880"/>
          </w:tcPr>
          <w:p>
            <w:r/>
            <w:r>
              <w:t>$0 (single binary)</w:t>
            </w:r>
          </w:p>
        </w:tc>
      </w:tr>
      <w:tr>
        <w:tc>
          <w:tcPr>
            <w:tcW w:type="dxa" w:w="2880"/>
          </w:tcPr>
          <w:p>
            <w:r/>
            <w:r>
              <w:t>Data egress</w:t>
            </w:r>
          </w:p>
        </w:tc>
        <w:tc>
          <w:tcPr>
            <w:tcW w:type="dxa" w:w="2880"/>
          </w:tcPr>
          <w:p>
            <w:r/>
            <w:r>
              <w:t>$1,200–$12,000</w:t>
            </w:r>
          </w:p>
        </w:tc>
        <w:tc>
          <w:tcPr>
            <w:tcW w:type="dxa" w:w="2880"/>
          </w:tcPr>
          <w:p>
            <w:r/>
            <w:r>
              <w:t>$0 (offline)</w:t>
            </w:r>
          </w:p>
        </w:tc>
      </w:tr>
      <w:tr>
        <w:tc>
          <w:tcPr>
            <w:tcW w:type="dxa" w:w="2880"/>
          </w:tcPr>
          <w:p>
            <w:r/>
            <w:r>
              <w:t>Vendor lock-in risk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Zero</w:t>
            </w:r>
          </w:p>
        </w:tc>
      </w:tr>
      <w:tr>
        <w:tc>
          <w:tcPr>
            <w:tcW w:type="dxa" w:w="2880"/>
          </w:tcPr>
          <w:p>
            <w:r/>
            <w:r>
              <w:t>Total Year 1</w:t>
            </w:r>
          </w:p>
        </w:tc>
        <w:tc>
          <w:tcPr>
            <w:tcW w:type="dxa" w:w="2880"/>
          </w:tcPr>
          <w:p>
            <w:r/>
            <w:r>
              <w:t>$19,200–$192,000</w:t>
            </w:r>
          </w:p>
        </w:tc>
        <w:tc>
          <w:tcPr>
            <w:tcW w:type="dxa" w:w="2880"/>
          </w:tcPr>
          <w:p>
            <w:r/>
            <w:r>
              <w:t>License fee only</w:t>
            </w:r>
          </w:p>
        </w:tc>
      </w:tr>
    </w:tbl>
    <w:p>
      <w:pPr>
        <w:pStyle w:val="Heading2"/>
      </w:pPr>
      <w:r>
        <w:t>Anticloud Pricing Model</w:t>
      </w:r>
    </w:p>
    <w:p>
      <w:pPr>
        <w:pStyle w:val="ListBullet"/>
      </w:pPr>
      <w:r>
        <w:t>Single deployment license: contact lois@0-1.gg</w:t>
      </w:r>
    </w:p>
    <w:p>
      <w:pPr>
        <w:pStyle w:val="ListBullet"/>
      </w:pPr>
      <w:r>
        <w:t>Enterprise: volume pricing available</w:t>
      </w:r>
    </w:p>
    <w:p>
      <w:pPr>
        <w:pStyle w:val="ListBullet"/>
      </w:pPr>
      <w:r>
        <w:t>Source available under Anticommons 0.1.0</w:t>
      </w:r>
    </w:p>
    <w:p>
      <w:pPr>
        <w:pStyle w:val="Heading2"/>
      </w:pPr>
      <w:r>
        <w:t>ROI</w:t>
      </w:r>
    </w:p>
    <w:p>
      <w:r>
        <w:t>Break-even vs cloud in &lt; 3 months for typical ARCHITECTURAL_DESIGN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