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19 SOX ITGC</w:t>
      </w:r>
    </w:p>
    <w:p>
      <w:pPr>
        <w:pStyle w:val="Heading1"/>
      </w:pPr>
      <w:r>
        <w:t>SOX IT General Controls (Section 404)</w:t>
      </w:r>
    </w:p>
    <w:p>
      <w:r>
        <w:t>**Anticloud FZ LLE — PAX L5 Narrow L2 General 27B**</w:t>
      </w:r>
    </w:p>
    <w:p>
      <w:r>
        <w:t>Run: 2026-10-02T10:01:23.202044Z | Framework ID: 19_SOX_ITGC</w:t>
      </w:r>
    </w:p>
    <w:p>
      <w:pPr>
        <w:pStyle w:val="Heading2"/>
      </w:pPr>
      <w:r>
        <w:t>Standard</w:t>
      </w:r>
    </w:p>
    <w:p>
      <w:r>
        <w:t>Sarbanes-Oxley Act 2002, Section 404, PCAOB AS 2201</w:t>
      </w:r>
    </w:p>
    <w:p>
      <w:pPr>
        <w:pStyle w:val="Heading2"/>
      </w:pPr>
      <w:r>
        <w:t>Result</w:t>
      </w:r>
    </w:p>
    <w:p>
      <w:r>
        <w:t>PASS — Change Management, Access Controls, Computer Operations, Program Development all covered</w:t>
      </w:r>
    </w:p>
    <w:p>
      <w:pPr>
        <w:pStyle w:val="Heading2"/>
      </w:pPr>
      <w:r>
        <w:t>Score</w:t>
      </w:r>
    </w:p>
    <w:p>
      <w:r>
        <w:t>COMPLIANT</w:t>
      </w:r>
    </w:p>
    <w:p>
      <w:pPr>
        <w:pStyle w:val="Heading2"/>
      </w:pPr>
      <w:r>
        <w:t>Notes</w:t>
      </w:r>
    </w:p>
    <w:p>
      <w:r>
        <w:t>AIOSS immutable ledger provides SOX-compliant audit trail; Provenance chain covers change management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3b06e15420064c27f945f6e81fbb0fb628e7d4f4830fe05fde648a7f266ec471 |</w:t>
      </w:r>
    </w:p>
    <w:p>
      <w:r>
        <w:t>| SHA3-256 (chain) | 688189058935484d96c210dde04642fe57074ada042c68fc8050a2ebabed794b |</w:t>
      </w:r>
    </w:p>
    <w:p>
      <w:r>
        <w:t>| Timestamp UTC | 2026-10-02T10:01:23.202044Z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