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10 HIPAA</w:t>
      </w:r>
    </w:p>
    <w:p>
      <w:pPr>
        <w:pStyle w:val="Heading1"/>
      </w:pPr>
      <w:r>
        <w:t>HIPAA Security Rule (45 CFR Part 164)</w:t>
      </w:r>
    </w:p>
    <w:p>
      <w:r>
        <w:t>**Anticloud FZ LLE — PAX L5 Narrow L2 General 27B**</w:t>
      </w:r>
    </w:p>
    <w:p>
      <w:r>
        <w:t>Run: 2026-10-02T10:18:13.041510Z | Framework ID: 10_HIPAA</w:t>
      </w:r>
    </w:p>
    <w:p>
      <w:pPr>
        <w:pStyle w:val="Heading2"/>
      </w:pPr>
      <w:r>
        <w:t>Standard</w:t>
      </w:r>
    </w:p>
    <w:p>
      <w:r>
        <w:t>HIPAA Security Rule, HHS 2013/2024 update</w:t>
      </w:r>
    </w:p>
    <w:p>
      <w:pPr>
        <w:pStyle w:val="Heading2"/>
      </w:pPr>
      <w:r>
        <w:t>Result</w:t>
      </w:r>
    </w:p>
    <w:p>
      <w:r>
        <w:t>PASS — §164.312(a)(1) Access Control, §164.312(e)(2)(ii) Encryption, §164.312(b) Audit Controls</w:t>
      </w:r>
    </w:p>
    <w:p>
      <w:pPr>
        <w:pStyle w:val="Heading2"/>
      </w:pPr>
      <w:r>
        <w:t>Score</w:t>
      </w:r>
    </w:p>
    <w:p>
      <w:r>
        <w:t>COMPLIANT — all 18 required + addressable standards met</w:t>
      </w:r>
    </w:p>
    <w:p>
      <w:pPr>
        <w:pStyle w:val="Heading2"/>
      </w:pPr>
      <w:r>
        <w:t>Notes</w:t>
      </w:r>
    </w:p>
    <w:p>
      <w:r>
        <w:t>AES-256-GCM satisfies §164.312(e)(2)(ii); AIOSS chain satisfies §164.312(b)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b3b877b8ec74e702d6ce466a2a88e7ea5c31db481a4abb56567ad42dd2baee80 |</w:t>
      </w:r>
    </w:p>
    <w:p>
      <w:r>
        <w:t>| SHA3-256 (chain) | 07d36b884ec4007760aef913c68e074360bc8863d8cf15009b7ea82ac8ad1cfb |</w:t>
      </w:r>
    </w:p>
    <w:p>
      <w:r>
        <w:t>| Timestamp UTC | 2026-10-02T10:18:13.041510Z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