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04 NIST AI RMF</w:t>
      </w:r>
    </w:p>
    <w:p>
      <w:pPr>
        <w:pStyle w:val="Heading1"/>
      </w:pPr>
      <w:r>
        <w:t>NIST AI Risk Management Framework 1.0 + GenAI Profile</w:t>
      </w:r>
    </w:p>
    <w:p>
      <w:r>
        <w:t>**Anticloud FZ LLE — PAX L5 Narrow L2 General 27B**</w:t>
      </w:r>
    </w:p>
    <w:p>
      <w:r>
        <w:t>Run: 2026-10-02T09:55:16.203669Z | Framework ID: 04_NIST_AI_RMF</w:t>
      </w:r>
    </w:p>
    <w:p>
      <w:pPr>
        <w:pStyle w:val="Heading2"/>
      </w:pPr>
      <w:r>
        <w:t>Standard</w:t>
      </w:r>
    </w:p>
    <w:p>
      <w:r>
        <w:t>NIST AI RMF 1.0 (2023), NIST AI 600-1 (2024)</w:t>
      </w:r>
    </w:p>
    <w:p>
      <w:pPr>
        <w:pStyle w:val="Heading2"/>
      </w:pPr>
      <w:r>
        <w:t>Result</w:t>
      </w:r>
    </w:p>
    <w:p>
      <w:r>
        <w:t>PASS — GOVERN 98%, MAP 97%, MEASURE 96%, MANAGE 99%</w:t>
      </w:r>
    </w:p>
    <w:p>
      <w:pPr>
        <w:pStyle w:val="Heading2"/>
      </w:pPr>
      <w:r>
        <w:t>Score</w:t>
      </w:r>
    </w:p>
    <w:p>
      <w:r>
        <w:t>Overall maturity: 97.5%</w:t>
      </w:r>
    </w:p>
    <w:p>
      <w:pPr>
        <w:pStyle w:val="Heading2"/>
      </w:pPr>
      <w:r>
        <w:t>Notes</w:t>
      </w:r>
    </w:p>
    <w:p>
      <w:r>
        <w:t>PAX L5 Narrow L2 General 27B documented under GOVERN 1.1; Provenance chain covers MEASURE 2.5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cbe79adf2b1b0c5ac2059649e46faad0f1baa5867cd254c0526a9d5e6d004ef1 |</w:t>
      </w:r>
    </w:p>
    <w:p>
      <w:r>
        <w:t>| SHA3-256 (chain) | 5b11e006f7a5ae64893bfaf7f16ddfaa9c71c80e58715f7d7f17bd4fb95cad60 |</w:t>
      </w:r>
    </w:p>
    <w:p>
      <w:r>
        <w:t>| Timestamp UTC | 2026-10-02T09:55:16.203669Z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