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15 GDPR</w:t>
      </w:r>
    </w:p>
    <w:p>
      <w:pPr>
        <w:pStyle w:val="Heading1"/>
      </w:pPr>
      <w:r>
        <w:t>GDPR (EU) 2016/679 + EDPB Guidelines</w:t>
      </w:r>
    </w:p>
    <w:p>
      <w:r>
        <w:t>**Anticloud FZ LLE — PAX L5 Narrow L2 General 27B**</w:t>
      </w:r>
    </w:p>
    <w:p>
      <w:r>
        <w:t>Run: 2026-10-02T09:53:22.641397Z | Framework ID: 15_GDPR</w:t>
      </w:r>
    </w:p>
    <w:p>
      <w:pPr>
        <w:pStyle w:val="Heading2"/>
      </w:pPr>
      <w:r>
        <w:t>Standard</w:t>
      </w:r>
    </w:p>
    <w:p>
      <w:r>
        <w:t>GDPR Art. 25 (Privacy by Design), Art. 32 (Security), Art. 35 (DPIA)</w:t>
      </w:r>
    </w:p>
    <w:p>
      <w:pPr>
        <w:pStyle w:val="Heading2"/>
      </w:pPr>
      <w:r>
        <w:t>Result</w:t>
      </w:r>
    </w:p>
    <w:p>
      <w:r>
        <w:t>PASS — Privacy by Design: all data stays local; Art. 32: AES-256-GCM; Art. 17 (Right to Erasure): forget() implemented</w:t>
      </w:r>
    </w:p>
    <w:p>
      <w:pPr>
        <w:pStyle w:val="Heading2"/>
      </w:pPr>
      <w:r>
        <w:t>Score</w:t>
      </w:r>
    </w:p>
    <w:p>
      <w:r>
        <w:t>COMPLIANT</w:t>
      </w:r>
    </w:p>
    <w:p>
      <w:pPr>
        <w:pStyle w:val="Heading2"/>
      </w:pPr>
      <w:r>
        <w:t>Notes</w:t>
      </w:r>
    </w:p>
    <w:p>
      <w:r>
        <w:t>SovereignMemory.forget() implements Art. 17; zero cloud egress satisfies Art. 44 (transfer restrictions)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843f35e34773c4e8f239a5c18b004a8c4c7b16b827d0c27488d4c51b8847a84d |</w:t>
      </w:r>
    </w:p>
    <w:p>
      <w:r>
        <w:t>| SHA3-256 (chain) | 7f38d5a9f0202f758d042a0a310f0b664d939cb3246c96f7054221ded9f645ee |</w:t>
      </w:r>
    </w:p>
    <w:p>
      <w:r>
        <w:t>| Timestamp UTC | 2026-10-02T09:53:22.641397Z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