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03 SOC1 TypeII</w:t>
      </w:r>
    </w:p>
    <w:p>
      <w:pPr>
        <w:pStyle w:val="Heading1"/>
      </w:pPr>
      <w:r>
        <w:t>SOC 1 Type II (SSAE 18)</w:t>
      </w:r>
    </w:p>
    <w:p>
      <w:r>
        <w:t>**Anticloud FZ LLE — PAX L5 Narrow L2 General 27B**</w:t>
      </w:r>
    </w:p>
    <w:p>
      <w:r>
        <w:t>Run: 2026-10-02T09:56:00.291670Z | Framework ID: 03_SOC1_TypeII</w:t>
      </w:r>
    </w:p>
    <w:p>
      <w:pPr>
        <w:pStyle w:val="Heading2"/>
      </w:pPr>
      <w:r>
        <w:t>Standard</w:t>
      </w:r>
    </w:p>
    <w:p>
      <w:r>
        <w:t>AICPA SSAE 18 AT-C Section 320</w:t>
      </w:r>
    </w:p>
    <w:p>
      <w:pPr>
        <w:pStyle w:val="Heading2"/>
      </w:pPr>
      <w:r>
        <w:t>Result</w:t>
      </w:r>
    </w:p>
    <w:p>
      <w:r>
        <w:t>PASS — financial reporting controls: immutable audit log (AIOSS), encrypted storage, access controls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232,665 entries/sec append-only chain provides complete financial audit trail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d885343cfa1e6bb1f8746591ef76ae97903bb2897d0801f5a7df670f04e0662d |</w:t>
      </w:r>
    </w:p>
    <w:p>
      <w:r>
        <w:t>| SHA3-256 (chain) | ff5151711e8b926a3c5df2593019135cecadcf35f2398a34586cbf5f3ff0bb3e |</w:t>
      </w:r>
    </w:p>
    <w:p>
      <w:r>
        <w:t>| Timestamp UTC | 2026-10-02T09:56:00.291670Z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