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22 SSDF</w:t>
      </w:r>
    </w:p>
    <w:p>
      <w:pPr>
        <w:pStyle w:val="Heading1"/>
      </w:pPr>
      <w:r>
        <w:t>SSDF (NIST Secure Software Development Framework) SP 800-218</w:t>
      </w:r>
    </w:p>
    <w:p>
      <w:r>
        <w:t>**Anticloud FZ LLE — PAX L5 Narrow L2 General 27B**</w:t>
      </w:r>
    </w:p>
    <w:p>
      <w:r>
        <w:t>Run: 2026-10-02T10:36:12.231388Z | Framework ID: 22_SSDF</w:t>
      </w:r>
    </w:p>
    <w:p>
      <w:pPr>
        <w:pStyle w:val="Heading2"/>
      </w:pPr>
      <w:r>
        <w:t>Standard</w:t>
      </w:r>
    </w:p>
    <w:p>
      <w:r>
        <w:t>NIST SP 800-218 v1.1 (2022)</w:t>
      </w:r>
    </w:p>
    <w:p>
      <w:pPr>
        <w:pStyle w:val="Heading2"/>
      </w:pPr>
      <w:r>
        <w:t>Result</w:t>
      </w:r>
    </w:p>
    <w:p>
      <w:r>
        <w:t>PASS — PO (Prepare), PS (Protect), PW (Produce), RV (Respond) practices all addressed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Provenance chain covers PS.1 (protect all forms of code); CRDT determinism covers PW.8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8c6a966e5bbb8492b2cdfc042f90c7dec6344b4ef526b27da4e586e0c6a55649 |</w:t>
      </w:r>
    </w:p>
    <w:p>
      <w:r>
        <w:t>| SHA3-256 (chain) | 80f52722ed090efd5da796439529ec2ba80f41f5cedd5e424bf2a798fb7910a2 |</w:t>
      </w:r>
    </w:p>
    <w:p>
      <w:r>
        <w:t>| Timestamp UTC | 2026-10-02T10:36:12.231388Z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