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24 MITRE ATTCK</w:t>
      </w:r>
    </w:p>
    <w:p>
      <w:pPr>
        <w:pStyle w:val="Heading1"/>
      </w:pPr>
      <w:r>
        <w:t>MITRE ATT&amp;CK v15 + MITRE ATLAS (AI Threats)</w:t>
      </w:r>
    </w:p>
    <w:p>
      <w:r>
        <w:t>**Anticloud FZ LLE — PAX L5 Narrow L2 General 27B**</w:t>
      </w:r>
    </w:p>
    <w:p>
      <w:r>
        <w:t>Run: 2026-10-02T10:22:23.972685Z | Framework ID: 24_MITRE_ATTCK</w:t>
      </w:r>
    </w:p>
    <w:p>
      <w:pPr>
        <w:pStyle w:val="Heading2"/>
      </w:pPr>
      <w:r>
        <w:t>Standard</w:t>
      </w:r>
    </w:p>
    <w:p>
      <w:r>
        <w:t>MITRE ATT&amp;CK Enterprise v15 (2024), MITRE ATLAS v4.5</w:t>
      </w:r>
    </w:p>
    <w:p>
      <w:pPr>
        <w:pStyle w:val="Heading2"/>
      </w:pPr>
      <w:r>
        <w:t>Result</w:t>
      </w:r>
    </w:p>
    <w:p>
      <w:r>
        <w:t>PASS — T1190 (Public-Facing App): N/A (air-gapped); T1003 (Credential Dump): mitigated by Zero Trust; AML.T0043 (Prompt Injection): mitigated</w:t>
      </w:r>
    </w:p>
    <w:p>
      <w:pPr>
        <w:pStyle w:val="Heading2"/>
      </w:pPr>
      <w:r>
        <w:t>Score</w:t>
      </w:r>
    </w:p>
    <w:p>
      <w:r>
        <w:t>DQI: 99/100, PQI: 99/100, IQI: 98/100</w:t>
      </w:r>
    </w:p>
    <w:p>
      <w:pPr>
        <w:pStyle w:val="Heading2"/>
      </w:pPr>
      <w:r>
        <w:t>Notes</w:t>
      </w:r>
    </w:p>
    <w:p>
      <w:r>
        <w:t>Zero Trust mTLS prevents lateral movement; Observability detects anomalous span patterns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778a7998c450c7145ecb577a64d36b805b4e023faafe2f6587957d9d61cdcfdb |</w:t>
      </w:r>
    </w:p>
    <w:p>
      <w:r>
        <w:t>| SHA3-256 (chain) | 91725971fbb096fe889da2015a63297d97580b62cf96a05971b536c3a98a9796 |</w:t>
      </w:r>
    </w:p>
    <w:p>
      <w:r>
        <w:t>| Timestamp UTC | 2026-10-02T10:22:23.972685Z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