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23 SBOM</w:t>
      </w:r>
    </w:p>
    <w:p>
      <w:pPr>
        <w:pStyle w:val="Heading1"/>
      </w:pPr>
      <w:r>
        <w:t>SBOM (Software Bill of Materials) — NTIA/CISA Minimum Elements</w:t>
      </w:r>
    </w:p>
    <w:p>
      <w:r>
        <w:t>**Anticloud FZ LLE — PAX L5 Narrow L2 General 27B**</w:t>
      </w:r>
    </w:p>
    <w:p>
      <w:r>
        <w:t>Run: 2026-10-02T10:10:01.774124Z | Framework ID: 23_SBOM</w:t>
      </w:r>
    </w:p>
    <w:p>
      <w:pPr>
        <w:pStyle w:val="Heading2"/>
      </w:pPr>
      <w:r>
        <w:t>Standard</w:t>
      </w:r>
    </w:p>
    <w:p>
      <w:r>
        <w:t>NTIA SBOM Minimum Elements (2021), EO 14028 (2021), CISA SBOM guidance</w:t>
      </w:r>
    </w:p>
    <w:p>
      <w:pPr>
        <w:pStyle w:val="Heading2"/>
      </w:pPr>
      <w:r>
        <w:t>Result</w:t>
      </w:r>
    </w:p>
    <w:p>
      <w:r>
        <w:t>PASS — Supplier, Component, Version, Hash, Relationship all captured in manifest</w:t>
      </w:r>
    </w:p>
    <w:p>
      <w:pPr>
        <w:pStyle w:val="Heading2"/>
      </w:pPr>
      <w:r>
        <w:t>Score</w:t>
      </w:r>
    </w:p>
    <w:p>
      <w:r>
        <w:t>MINIMUM ELEMENTS: ALL PRESENT</w:t>
      </w:r>
    </w:p>
    <w:p>
      <w:pPr>
        <w:pStyle w:val="Heading2"/>
      </w:pPr>
      <w:r>
        <w:t>Notes</w:t>
      </w:r>
    </w:p>
    <w:p>
      <w:r>
        <w:t>SingleBinary.generate_build_manifest() produces SBOM-compatible manifest with SHA3-256 hashes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acf71857d6ede6b7ab48884a3ee83c58e351f0bd84e2cbb984d5a7440d0800c8 |</w:t>
      </w:r>
    </w:p>
    <w:p>
      <w:r>
        <w:t>| SHA3-256 (chain) | 8b9c985c2c4e4c98a553f14978ca31a7d71dc4cd73565b5364d6539bdd8a001c |</w:t>
      </w:r>
    </w:p>
    <w:p>
      <w:r>
        <w:t>| Timestamp UTC | 2026-10-02T10:10:01.774124Z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