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19 SOX ITGC</w:t>
      </w:r>
    </w:p>
    <w:p>
      <w:pPr>
        <w:pStyle w:val="Heading1"/>
      </w:pPr>
      <w:r>
        <w:t>SOX IT General Controls (Section 404)</w:t>
      </w:r>
    </w:p>
    <w:p>
      <w:r>
        <w:t>**Anticloud FZ LLE — PAX L5 Narrow L2 General 27B**</w:t>
      </w:r>
    </w:p>
    <w:p>
      <w:r>
        <w:t>Run: 2026-10-02T09:32:25.715613Z | Framework ID: 19_SOX_ITGC</w:t>
      </w:r>
    </w:p>
    <w:p>
      <w:pPr>
        <w:pStyle w:val="Heading2"/>
      </w:pPr>
      <w:r>
        <w:t>Standard</w:t>
      </w:r>
    </w:p>
    <w:p>
      <w:r>
        <w:t>Sarbanes-Oxley Act 2002, Section 404, PCAOB AS 2201</w:t>
      </w:r>
    </w:p>
    <w:p>
      <w:pPr>
        <w:pStyle w:val="Heading2"/>
      </w:pPr>
      <w:r>
        <w:t>Result</w:t>
      </w:r>
    </w:p>
    <w:p>
      <w:r>
        <w:t>PASS — Change Management, Access Controls, Computer Operations, Program Development all covered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immutable ledger provides SOX-compliant audit trail; Provenance chain covers change management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3b06e15420064c27f945f6e81fbb0fb628e7d4f4830fe05fde648a7f266ec471 |</w:t>
      </w:r>
    </w:p>
    <w:p>
      <w:r>
        <w:t>| SHA3-256 (chain) | 59d1a8a065923c8eb93c8dce06143dd91aec948fc74e5ed4ce69bbeadd84bbd0 |</w:t>
      </w:r>
    </w:p>
    <w:p>
      <w:r>
        <w:t>| Timestamp UTC | 2026-10-02T09:32:25.715613Z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