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18 DORA</w:t>
      </w:r>
    </w:p>
    <w:p>
      <w:pPr>
        <w:pStyle w:val="Heading1"/>
      </w:pPr>
      <w:r>
        <w:t>DORA (EU Digital Operational Resilience Act) 2022/2554</w:t>
      </w:r>
    </w:p>
    <w:p>
      <w:r>
        <w:t>**Anticloud FZ LLE — PAX L5 Narrow L2 General 27B**</w:t>
      </w:r>
    </w:p>
    <w:p>
      <w:r>
        <w:t>Run: 2026-10-02T10:18:18.846830Z | Framework ID: 18_DORA</w:t>
      </w:r>
    </w:p>
    <w:p>
      <w:pPr>
        <w:pStyle w:val="Heading2"/>
      </w:pPr>
      <w:r>
        <w:t>Standard</w:t>
      </w:r>
    </w:p>
    <w:p>
      <w:r>
        <w:t>DORA Regulation (EU) 2022/2554, RTS (2024)</w:t>
      </w:r>
    </w:p>
    <w:p>
      <w:pPr>
        <w:pStyle w:val="Heading2"/>
      </w:pPr>
      <w:r>
        <w:t>Result</w:t>
      </w:r>
    </w:p>
    <w:p>
      <w:r>
        <w:t>PASS — Art. 9 (ICT Security), Art. 10 (Detection), Art. 11 (Recovery), Art. 12 (Backup)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CRDT convergence satisfies Art. 12 recovery; Observability satisfies Art. 10 detection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11e0f438bc3381c061d3d029bc3552f3c1b2901509fd611d6501cd620872269b |</w:t>
      </w:r>
    </w:p>
    <w:p>
      <w:r>
        <w:t>| SHA3-256 (chain) | 36660aa35feaa5ae66e027b29566023d48e472dc7b1c42aeea330285149bebee |</w:t>
      </w:r>
    </w:p>
    <w:p>
      <w:r>
        <w:t>| Timestamp UTC | 2026-10-02T10:18:18.846830Z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