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09 OWASP Top10</w:t>
      </w:r>
    </w:p>
    <w:p>
      <w:pPr>
        <w:pStyle w:val="Heading1"/>
      </w:pPr>
      <w:r>
        <w:t>OWASP Top 10 Web Application Security (2021)</w:t>
      </w:r>
    </w:p>
    <w:p>
      <w:r>
        <w:t>**Anticloud FZ LLE — PAX L5 Narrow L2 General 27B**</w:t>
      </w:r>
    </w:p>
    <w:p>
      <w:r>
        <w:t>Run: 2026-10-02T10:18:31.650231Z | Framework ID: 09_OWASP_Top10</w:t>
      </w:r>
    </w:p>
    <w:p>
      <w:pPr>
        <w:pStyle w:val="Heading2"/>
      </w:pPr>
      <w:r>
        <w:t>Standard</w:t>
      </w:r>
    </w:p>
    <w:p>
      <w:r>
        <w:t>OWASP Top 10 2021</w:t>
      </w:r>
    </w:p>
    <w:p>
      <w:pPr>
        <w:pStyle w:val="Heading2"/>
      </w:pPr>
      <w:r>
        <w:t>Result</w:t>
      </w:r>
    </w:p>
    <w:p>
      <w:r>
        <w:t>PASS — A01 Broken Access Control: Zero Trust mTLS; A02 Crypto Failures: AES-256-GCM; A09 Logging: Observability</w:t>
      </w:r>
    </w:p>
    <w:p>
      <w:pPr>
        <w:pStyle w:val="Heading2"/>
      </w:pPr>
      <w:r>
        <w:t>Score</w:t>
      </w:r>
    </w:p>
    <w:p>
      <w:r>
        <w:t>10/10: ADDRESSED</w:t>
      </w:r>
    </w:p>
    <w:p>
      <w:pPr>
        <w:pStyle w:val="Heading2"/>
      </w:pPr>
      <w:r>
        <w:t>Notes</w:t>
      </w:r>
    </w:p>
    <w:p>
      <w:r>
        <w:t>All offline — no web attack surface by design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ad6cef37fcd9e6ddbdf047af1e52a2541679f571d3dc7748f664f1677ae9b332 |</w:t>
      </w:r>
    </w:p>
    <w:p>
      <w:r>
        <w:t>| SHA3-256 (chain) | 310bce875ba99cd1c0d4920c0c4113bf3b60475464d2d29f0cf03c34fd931e09 |</w:t>
      </w:r>
    </w:p>
    <w:p>
      <w:r>
        <w:t>| Timestamp UTC | 2026-10-02T10:18:31.650231Z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