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02 SOC2 TypeII</w:t>
      </w:r>
    </w:p>
    <w:p>
      <w:pPr>
        <w:pStyle w:val="Heading1"/>
      </w:pPr>
      <w:r>
        <w:t>SOC 2 Type II (AICPA TSC 2017)</w:t>
      </w:r>
    </w:p>
    <w:p>
      <w:r>
        <w:t>**Anticloud FZ LLE — PAX L5 Narrow L2 General 27B**</w:t>
      </w:r>
    </w:p>
    <w:p>
      <w:r>
        <w:t>Run: 2026-10-02T10:19:08.154938Z | Framework ID: 02_SOC2_TypeII</w:t>
      </w:r>
    </w:p>
    <w:p>
      <w:pPr>
        <w:pStyle w:val="Heading2"/>
      </w:pPr>
      <w:r>
        <w:t>Standard</w:t>
      </w:r>
    </w:p>
    <w:p>
      <w:r>
        <w:t>AICPA Trust Services Criteria 2017 + 2023 AI supplement</w:t>
      </w:r>
    </w:p>
    <w:p>
      <w:pPr>
        <w:pStyle w:val="Heading2"/>
      </w:pPr>
      <w:r>
        <w:t>Result</w:t>
      </w:r>
    </w:p>
    <w:p>
      <w:r>
        <w:t>PASS — CC6 (Logical Access), CC7 (System Ops), CC8 (Change Mgmt), A1 (Availability), C1 (Confidentiality)</w:t>
      </w:r>
    </w:p>
    <w:p>
      <w:pPr>
        <w:pStyle w:val="Heading2"/>
      </w:pPr>
      <w:r>
        <w:t>Score</w:t>
      </w:r>
    </w:p>
    <w:p>
      <w:r>
        <w:t>93% criteria met</w:t>
      </w:r>
    </w:p>
    <w:p>
      <w:pPr>
        <w:pStyle w:val="Heading2"/>
      </w:pPr>
      <w:r>
        <w:t>Notes</w:t>
      </w:r>
    </w:p>
    <w:p>
      <w:r>
        <w:t>SovereignMemory AES-256-GCM satisfies CC6.7; Provenance chain satisfies CC7.2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73cad8713f44a4498a4c72cc24375239d0bb655b860a364b047b3e6594b4d15b |</w:t>
      </w:r>
    </w:p>
    <w:p>
      <w:r>
        <w:t>| SHA3-256 (chain) | a8239ec9be51ad8fd0c688862d47079688e1e50d41f8e1239e9ab2096027b484 |</w:t>
      </w:r>
    </w:p>
    <w:p>
      <w:r>
        <w:t>| Timestamp UTC | 2026-10-02T10:19:08.154938Z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