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Investor Faq</w:t>
      </w:r>
    </w:p>
    <w:p>
      <w:pPr>
        <w:pStyle w:val="Heading1"/>
      </w:pPr>
      <w:r>
        <w:t>Investor FAQ — RESTAURANTBILLING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RESTAURANTBILLING | Category: POS_SYSTEMS</w:t>
      </w:r>
    </w:p>
    <w:p>
      <w:r>
        <w:rPr>
          <w:sz w:val="22"/>
        </w:rPr>
        <w:t>Upstream: https://github.com/nicedoc/restaurantbilling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investor faq for the Anticloud integration of RESTAURANTBILLING.</w:t>
      </w:r>
    </w:p>
    <w:p/>
    <w:p>
      <w:r>
        <w:rPr>
          <w:sz w:val="22"/>
        </w:rPr>
        <w:t>Restaurant billing and POS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RESTAURANTBILLING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