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02 Soc2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SOC 2 Type II Readiness — SELF_DRIVING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Company: Anticloud FZ LLE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Model: PAX L5 Narrow L2 General 27B</w:t>
            </w:r>
          </w:p>
        </w:tc>
      </w:tr>
    </w:tbl>
    <w:p>
      <w:r>
        <w:rPr>
          <w:b/>
        </w:rPr>
        <w:t>Trust Service Criteria:</w:t>
      </w:r>
      <w:r>
        <w:t xml:space="preserve"> Security, Availability, Confidentiality, Processing Integrity, Privacy</w:t>
      </w:r>
    </w:p>
    <w:p>
      <w:pPr>
        <w:pStyle w:val="Heading2"/>
      </w:pPr>
      <w:r>
        <w:t>CC1 — Control Environment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Criteria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Evidence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/>
            <w:r>
              <w:t>CC1.1 COSO Principles</w:t>
            </w:r>
          </w:p>
        </w:tc>
        <w:tc>
          <w:tcPr>
            <w:tcW w:type="dxa" w:w="2880"/>
          </w:tcPr>
          <w:p>
            <w:r/>
            <w:r>
              <w:t>Documented in OFFICIAL_BENCHMARKS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CC1.2 Board oversight</w:t>
            </w:r>
          </w:p>
        </w:tc>
        <w:tc>
          <w:tcPr>
            <w:tcW w:type="dxa" w:w="2880"/>
          </w:tcPr>
          <w:p>
            <w:r/>
            <w:r>
              <w:t>Anticloud FZ LLE governance docs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CC1.3 Management philosophy</w:t>
            </w:r>
          </w:p>
        </w:tc>
        <w:tc>
          <w:tcPr>
            <w:tcW w:type="dxa" w:w="2880"/>
          </w:tcPr>
          <w:p>
            <w:r/>
            <w:r>
              <w:t>Single-owner accountability (Lois-Kleinner Alpasan)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</w:tbl>
    <w:p>
      <w:pPr>
        <w:pStyle w:val="Heading2"/>
      </w:pPr>
      <w:r>
        <w:t>CC2 — Communication &amp;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Criteria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Evidence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/>
            <w:r>
              <w:t>CC2.1 COSO objectives</w:t>
            </w:r>
          </w:p>
        </w:tc>
        <w:tc>
          <w:tcPr>
            <w:tcW w:type="dxa" w:w="2880"/>
          </w:tcPr>
          <w:p>
            <w:r/>
            <w:r>
              <w:t>Anticloud offline-first architecture documented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CC2.2 Internal communication</w:t>
            </w:r>
          </w:p>
        </w:tc>
        <w:tc>
          <w:tcPr>
            <w:tcW w:type="dxa" w:w="2880"/>
          </w:tcPr>
          <w:p>
            <w:r/>
            <w:r>
              <w:t>Local observability stack (traces/metrics/logs)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CC2.3 External communication</w:t>
            </w:r>
          </w:p>
        </w:tc>
        <w:tc>
          <w:tcPr>
            <w:tcW w:type="dxa" w:w="2880"/>
          </w:tcPr>
          <w:p>
            <w:r/>
            <w:r>
              <w:t>Anticommons 0.1.0 public license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</w:tbl>
    <w:p>
      <w:pPr>
        <w:pStyle w:val="Heading2"/>
      </w:pPr>
      <w:r>
        <w:t>CC6 — Logical &amp; Physical Access (Security)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Criteria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Evidence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/>
            <w:r>
              <w:t>CC6.1 Logical access security</w:t>
            </w:r>
          </w:p>
        </w:tc>
        <w:tc>
          <w:tcPr>
            <w:tcW w:type="dxa" w:w="2880"/>
          </w:tcPr>
          <w:p>
            <w:r/>
            <w:r>
              <w:t>Zero-trust mTLS mesh, short-lived certs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CC6.2 Authentication</w:t>
            </w:r>
          </w:p>
        </w:tc>
        <w:tc>
          <w:tcPr>
            <w:tcW w:type="dxa" w:w="2880"/>
          </w:tcPr>
          <w:p>
            <w:r/>
            <w:r>
              <w:t>mTLS client certificates, no shared secrets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CC6.3 Role-based access</w:t>
            </w:r>
          </w:p>
        </w:tc>
        <w:tc>
          <w:tcPr>
            <w:tcW w:type="dxa" w:w="2880"/>
          </w:tcPr>
          <w:p>
            <w:r/>
            <w:r>
              <w:t>CRDT identity + AIOSS audit per role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CC6.6 Logical access restrictions</w:t>
            </w:r>
          </w:p>
        </w:tc>
        <w:tc>
          <w:tcPr>
            <w:tcW w:type="dxa" w:w="2880"/>
          </w:tcPr>
          <w:p>
            <w:r/>
            <w:r>
              <w:t>Air-gapped deployment option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CC6.7 Unauthorized removal</w:t>
            </w:r>
          </w:p>
        </w:tc>
        <w:tc>
          <w:tcPr>
            <w:tcW w:type="dxa" w:w="2880"/>
          </w:tcPr>
          <w:p>
            <w:r/>
            <w:r>
              <w:t>AES-256-GCM encryption, key rotation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CC6.8 Malware prevention</w:t>
            </w:r>
          </w:p>
        </w:tc>
        <w:tc>
          <w:tcPr>
            <w:tcW w:type="dxa" w:w="2880"/>
          </w:tcPr>
          <w:p>
            <w:r/>
            <w:r>
              <w:t>Deterministic builds + source hash verification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</w:tbl>
    <w:p>
      <w:pPr>
        <w:pStyle w:val="Heading2"/>
      </w:pPr>
      <w:r>
        <w:t>CC7 — System Operations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Criteria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Evidence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/>
            <w:r>
              <w:t>CC7.1 Configuration management</w:t>
            </w:r>
          </w:p>
        </w:tc>
        <w:tc>
          <w:tcPr>
            <w:tcW w:type="dxa" w:w="2880"/>
          </w:tcPr>
          <w:p>
            <w:r/>
            <w:r>
              <w:t>Deterministic builds, SBOM in binary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CC7.2 Infrastructure monitoring</w:t>
            </w:r>
          </w:p>
        </w:tc>
        <w:tc>
          <w:tcPr>
            <w:tcW w:type="dxa" w:w="2880"/>
          </w:tcPr>
          <w:p>
            <w:r/>
            <w:r>
              <w:t>Local observability: OpenTelemetry traces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CC7.3 Environmental threats</w:t>
            </w:r>
          </w:p>
        </w:tc>
        <w:tc>
          <w:tcPr>
            <w:tcW w:type="dxa" w:w="2880"/>
          </w:tcPr>
          <w:p>
            <w:r/>
            <w:r>
              <w:t>Offline-first, no cloud dependency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CC7.4 Incident detection</w:t>
            </w:r>
          </w:p>
        </w:tc>
        <w:tc>
          <w:tcPr>
            <w:tcW w:type="dxa" w:w="2880"/>
          </w:tcPr>
          <w:p>
            <w:r/>
            <w:r>
              <w:t>AIOSS anomaly detection via chain breaks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</w:tbl>
    <w:p>
      <w:pPr>
        <w:pStyle w:val="Heading2"/>
      </w:pPr>
      <w:r>
        <w:t>CC8 — Change Management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Criteria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Evidence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/>
            <w:r>
              <w:t>CC8.1 Change management</w:t>
            </w:r>
          </w:p>
        </w:tc>
        <w:tc>
          <w:tcPr>
            <w:tcW w:type="dxa" w:w="2880"/>
          </w:tcPr>
          <w:p>
            <w:r/>
            <w:r>
              <w:t>Provenance chain records every computation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</w:tbl>
    <w:p>
      <w:pPr>
        <w:pStyle w:val="Heading2"/>
      </w:pPr>
      <w:r>
        <w:t>A1 — Availability</w:t>
      </w:r>
    </w:p>
    <w:p>
      <w:r>
        <w:t>99.99% theoretical uptime — no cloud dependency means no cloud outage risk.</w:t>
      </w:r>
    </w:p>
    <w:p>
      <w:r>
        <w:t>Single binary deploys in &lt; 30 seconds on any x86/ARM node.</w:t>
      </w:r>
    </w:p>
    <w:p>
      <w:pPr>
        <w:pStyle w:val="Heading2"/>
      </w:pPr>
      <w:r>
        <w:t>C1 — Confidentiality</w:t>
      </w:r>
    </w:p>
    <w:p>
      <w:r>
        <w:t>AES-256-GCM encryption at rest. Zero plaintext storage of sensitive data.</w:t>
      </w:r>
    </w:p>
    <w:p>
      <w:r>
        <w:t>Sovereign Memory encrypts all persisted entries with scrypt-derived keys.</w:t>
      </w:r>
    </w:p>
    <w:p>
      <w:pPr>
        <w:pStyle w:val="Heading2"/>
      </w:pPr>
      <w:r>
        <w:t>PI1 — Processing Integrity</w:t>
      </w:r>
    </w:p>
    <w:p>
      <w:r>
        <w:t>AIOSS ledger provides cryptographic proof of processing integrity.</w:t>
      </w:r>
    </w:p>
    <w:p>
      <w:r>
        <w:t>Every computation recorded in Provenance chain with input/output hashes.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