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03 SOC1 TypeII</w:t>
      </w:r>
    </w:p>
    <w:p>
      <w:pPr>
        <w:pStyle w:val="Heading1"/>
      </w:pPr>
      <w:r>
        <w:t>SOC 1 Type II (SSAE 18)</w:t>
      </w:r>
    </w:p>
    <w:p>
      <w:r>
        <w:t>**Anticloud FZ LLE — PAX L5 Narrow L2 General 27B**</w:t>
      </w:r>
    </w:p>
    <w:p>
      <w:r>
        <w:t>Run: 2026-10-02T09:51:00.660977Z | Framework ID: 03_SOC1_TypeII</w:t>
      </w:r>
    </w:p>
    <w:p>
      <w:pPr>
        <w:pStyle w:val="Heading2"/>
      </w:pPr>
      <w:r>
        <w:t>Standard</w:t>
      </w:r>
    </w:p>
    <w:p>
      <w:r>
        <w:t>AICPA SSAE 18 AT-C Section 320</w:t>
      </w:r>
    </w:p>
    <w:p>
      <w:pPr>
        <w:pStyle w:val="Heading2"/>
      </w:pPr>
      <w:r>
        <w:t>Result</w:t>
      </w:r>
    </w:p>
    <w:p>
      <w:r>
        <w:t>PASS — financial reporting controls: immutable audit log (AIOSS), encrypted storage, access controls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232,665 entries/sec append-only chain provides complete financial audit trail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d885343cfa1e6bb1f8746591ef76ae97903bb2897d0801f5a7df670f04e0662d |</w:t>
      </w:r>
    </w:p>
    <w:p>
      <w:r>
        <w:t>| SHA3-256 (chain) | 0212e4f7b4ef58630b6a29bb1e886b99fa1b39fb7d455e87b50287185a9d0fdb |</w:t>
      </w:r>
    </w:p>
    <w:p>
      <w:r>
        <w:t>| Timestamp UTC | 2026-10-02T09:51:00.660977Z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