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04 NIST AI RMF</w:t>
      </w:r>
    </w:p>
    <w:p>
      <w:pPr>
        <w:pStyle w:val="Heading1"/>
      </w:pPr>
      <w:r>
        <w:t>NIST AI Risk Management Framework 1.0 + GenAI Profile</w:t>
      </w:r>
    </w:p>
    <w:p>
      <w:r>
        <w:t>**Anticloud FZ LLE — PAX L5 Narrow L2 General 27B**</w:t>
      </w:r>
    </w:p>
    <w:p>
      <w:r>
        <w:t>Run: 2026-10-02T09:33:52.643029Z | Framework ID: 04_NIST_AI_RMF</w:t>
      </w:r>
    </w:p>
    <w:p>
      <w:pPr>
        <w:pStyle w:val="Heading2"/>
      </w:pPr>
      <w:r>
        <w:t>Standard</w:t>
      </w:r>
    </w:p>
    <w:p>
      <w:r>
        <w:t>NIST AI RMF 1.0 (2023), NIST AI 600-1 (2024)</w:t>
      </w:r>
    </w:p>
    <w:p>
      <w:pPr>
        <w:pStyle w:val="Heading2"/>
      </w:pPr>
      <w:r>
        <w:t>Result</w:t>
      </w:r>
    </w:p>
    <w:p>
      <w:r>
        <w:t>PASS — GOVERN 98%, MAP 97%, MEASURE 96%, MANAGE 99%</w:t>
      </w:r>
    </w:p>
    <w:p>
      <w:pPr>
        <w:pStyle w:val="Heading2"/>
      </w:pPr>
      <w:r>
        <w:t>Score</w:t>
      </w:r>
    </w:p>
    <w:p>
      <w:r>
        <w:t>Overall maturity: 97.5%</w:t>
      </w:r>
    </w:p>
    <w:p>
      <w:pPr>
        <w:pStyle w:val="Heading2"/>
      </w:pPr>
      <w:r>
        <w:t>Notes</w:t>
      </w:r>
    </w:p>
    <w:p>
      <w:r>
        <w:t>PAX L5 Narrow L2 General 27B documented under GOVERN 1.1; Provenance chain covers MEASURE 2.5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cbe79adf2b1b0c5ac2059649e46faad0f1baa5867cd254c0526a9d5e6d004ef1 |</w:t>
      </w:r>
    </w:p>
    <w:p>
      <w:r>
        <w:t>| SHA3-256 (chain) | d1601ae5a51f8ade75d07f6ca6b1ca4bb244fe2bed7ab919dde20415931c2690 |</w:t>
      </w:r>
    </w:p>
    <w:p>
      <w:r>
        <w:t>| Timestamp UTC | 2026-10-02T09:33:52.643029Z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