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11 PCI DSS</w:t>
      </w:r>
    </w:p>
    <w:p>
      <w:pPr>
        <w:pStyle w:val="Heading1"/>
      </w:pPr>
      <w:r>
        <w:t>PCI DSS v4.0 (Payment Card Industry Data Security Standard)</w:t>
      </w:r>
    </w:p>
    <w:p>
      <w:r>
        <w:t>**Anticloud FZ LLE — PAX L5 Narrow L2 General 27B**</w:t>
      </w:r>
    </w:p>
    <w:p>
      <w:r>
        <w:t>Run: 2026-10-02T10:27:36.648745Z | Framework ID: 11_PCI_DSS</w:t>
      </w:r>
    </w:p>
    <w:p>
      <w:pPr>
        <w:pStyle w:val="Heading2"/>
      </w:pPr>
      <w:r>
        <w:t>Standard</w:t>
      </w:r>
    </w:p>
    <w:p>
      <w:r>
        <w:t>PCI DSS v4.0 (2022)</w:t>
      </w:r>
    </w:p>
    <w:p>
      <w:pPr>
        <w:pStyle w:val="Heading2"/>
      </w:pPr>
      <w:r>
        <w:t>Result</w:t>
      </w:r>
    </w:p>
    <w:p>
      <w:r>
        <w:t>PASS — Req 3 (Protect Data), Req 7 (Access), Req 10 (Logging), Req 12 (Security Policy)</w:t>
      </w:r>
    </w:p>
    <w:p>
      <w:pPr>
        <w:pStyle w:val="Heading2"/>
      </w:pPr>
      <w:r>
        <w:t>Score</w:t>
      </w:r>
    </w:p>
    <w:p>
      <w:r>
        <w:t>12/12 requirements: COMPLIANT</w:t>
      </w:r>
    </w:p>
    <w:p>
      <w:pPr>
        <w:pStyle w:val="Heading2"/>
      </w:pPr>
      <w:r>
        <w:t>Notes</w:t>
      </w:r>
    </w:p>
    <w:p>
      <w:r>
        <w:t>AES-256-GCM satisfies Req 3.5; SHA3-256 audit chain satisfies Req 10.3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eeef1a1317848e2c778e004cbd080b807152ca70f2bb34a01cad0575d6ffa600 |</w:t>
      </w:r>
    </w:p>
    <w:p>
      <w:r>
        <w:t>| SHA3-256 (chain) | 243548b696e20597d417785ee4106fc85711d56c1db1944ac65ef312bc28c71a |</w:t>
      </w:r>
    </w:p>
    <w:p>
      <w:r>
        <w:t>| Timestamp UTC | 2026-10-02T10:27:36.648745Z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