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23 SBOM</w:t>
      </w:r>
    </w:p>
    <w:p>
      <w:pPr>
        <w:pStyle w:val="Heading1"/>
      </w:pPr>
      <w:r>
        <w:t>SBOM (Software Bill of Materials) — NTIA/CISA Minimum Elements</w:t>
      </w:r>
    </w:p>
    <w:p>
      <w:r>
        <w:t>**Anticloud FZ LLE — PAX L5 Narrow L2 General 27B**</w:t>
      </w:r>
    </w:p>
    <w:p>
      <w:r>
        <w:t>Run: 2026-10-02T09:45:14.184858Z | Framework ID: 23_SBOM</w:t>
      </w:r>
    </w:p>
    <w:p>
      <w:pPr>
        <w:pStyle w:val="Heading2"/>
      </w:pPr>
      <w:r>
        <w:t>Standard</w:t>
      </w:r>
    </w:p>
    <w:p>
      <w:r>
        <w:t>NTIA SBOM Minimum Elements (2021), EO 14028 (2021), CISA SBOM guidance</w:t>
      </w:r>
    </w:p>
    <w:p>
      <w:pPr>
        <w:pStyle w:val="Heading2"/>
      </w:pPr>
      <w:r>
        <w:t>Result</w:t>
      </w:r>
    </w:p>
    <w:p>
      <w:r>
        <w:t>PASS — Supplier, Component, Version, Hash, Relationship all captured in manifest</w:t>
      </w:r>
    </w:p>
    <w:p>
      <w:pPr>
        <w:pStyle w:val="Heading2"/>
      </w:pPr>
      <w:r>
        <w:t>Score</w:t>
      </w:r>
    </w:p>
    <w:p>
      <w:r>
        <w:t>MINIMUM ELEMENTS: ALL PRESENT</w:t>
      </w:r>
    </w:p>
    <w:p>
      <w:pPr>
        <w:pStyle w:val="Heading2"/>
      </w:pPr>
      <w:r>
        <w:t>Notes</w:t>
      </w:r>
    </w:p>
    <w:p>
      <w:r>
        <w:t>SingleBinary.generate_build_manifest() produces SBOM-compatible manifest with SHA3-256 hashes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acf71857d6ede6b7ab48884a3ee83c58e351f0bd84e2cbb984d5a7440d0800c8 |</w:t>
      </w:r>
    </w:p>
    <w:p>
      <w:r>
        <w:t>| SHA3-256 (chain) | 31140056bf904a18c1f1d4fd097a41fde9791d12c1f8027fcb12c6fda62dfd97 |</w:t>
      </w:r>
    </w:p>
    <w:p>
      <w:r>
        <w:t>| Timestamp UTC | 2026-10-02T09:45:14.184858Z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