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07 ISO 27001</w:t>
      </w:r>
    </w:p>
    <w:p>
      <w:pPr>
        <w:pStyle w:val="Heading1"/>
      </w:pPr>
      <w:r>
        <w:t>ISO/IEC 27001:2022 + ISO/IEC 42001:2023 (AI ISMS)</w:t>
      </w:r>
    </w:p>
    <w:p>
      <w:r>
        <w:t>**Anticloud FZ LLE — PAX L5 Narrow L2 General 27B**</w:t>
      </w:r>
    </w:p>
    <w:p>
      <w:r>
        <w:t>Run: 2026-10-02T10:36:30.724679Z | Framework ID: 07_ISO_27001</w:t>
      </w:r>
    </w:p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89f0a7de245489546c633d9712fbd849db16a3e3b1e8bc774edd2784a9cdd525 |</w:t>
      </w:r>
    </w:p>
    <w:p>
      <w:r>
        <w:t>| SHA3-256 (chain) | 32d53561d6f7218a8c3cdb1c7bdbc37ffd03014d8c361924c53434b0a6ae9a77 |</w:t>
      </w:r>
    </w:p>
    <w:p>
      <w:r>
        <w:t>| Timestamp UTC | 2026-10-02T10:36:30.724679Z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