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23 SBOM</w:t>
      </w:r>
    </w:p>
    <w:p>
      <w:pPr>
        <w:pStyle w:val="Heading1"/>
      </w:pPr>
      <w:r>
        <w:t>SBOM (Software Bill of Materials) — NTIA/CISA Minimum Elements</w:t>
      </w:r>
    </w:p>
    <w:p>
      <w:r>
        <w:t>**Anticloud FZ LLE — PAX L5 Narrow L2 General 27B**</w:t>
      </w:r>
    </w:p>
    <w:p>
      <w:r>
        <w:t>Run: 2026-10-02T11:17:25.107984Z | Framework ID: 23_SBOM</w:t>
      </w:r>
    </w:p>
    <w:p>
      <w:pPr>
        <w:pStyle w:val="Heading2"/>
      </w:pPr>
      <w:r>
        <w:t>Standard</w:t>
      </w:r>
    </w:p>
    <w:p>
      <w:r>
        <w:t>NTIA SBOM Minimum Elements (2021), EO 14028 (2021), CISA SBOM guidance</w:t>
      </w:r>
    </w:p>
    <w:p>
      <w:pPr>
        <w:pStyle w:val="Heading2"/>
      </w:pPr>
      <w:r>
        <w:t>Result</w:t>
      </w:r>
    </w:p>
    <w:p>
      <w:r>
        <w:t>PASS — Supplier, Component, Version, Hash, Relationship all captured in manifest</w:t>
      </w:r>
    </w:p>
    <w:p>
      <w:pPr>
        <w:pStyle w:val="Heading2"/>
      </w:pPr>
      <w:r>
        <w:t>Score</w:t>
      </w:r>
    </w:p>
    <w:p>
      <w:r>
        <w:t>MINIMUM ELEMENTS: ALL PRESENT</w:t>
      </w:r>
    </w:p>
    <w:p>
      <w:pPr>
        <w:pStyle w:val="Heading2"/>
      </w:pPr>
      <w:r>
        <w:t>Notes</w:t>
      </w:r>
    </w:p>
    <w:p>
      <w:r>
        <w:t>SingleBinary.generate_build_manifest() produces SBOM-compatible manifest with SHA3-256 hashes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acf71857d6ede6b7ab48884a3ee83c58e351f0bd84e2cbb984d5a7440d0800c8 |</w:t>
      </w:r>
    </w:p>
    <w:p>
      <w:r>
        <w:t>| SHA3-256 (chain) | c0e51dd08e24896004cdef8319af7e8ee39a4f6333836eabdf35dc6889332f2c |</w:t>
      </w:r>
    </w:p>
    <w:p>
      <w:r>
        <w:t>| Timestamp UTC | 2026-10-02T11:17:25.107984Z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