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10 HIPAA</w:t>
      </w:r>
    </w:p>
    <w:p>
      <w:pPr>
        <w:pStyle w:val="Heading1"/>
      </w:pPr>
      <w:r>
        <w:t>HIPAA Security Rule (45 CFR Part 164)</w:t>
      </w:r>
    </w:p>
    <w:p>
      <w:r>
        <w:t>**Anticloud FZ LLE — PAX L5 Narrow L2 General 27B**</w:t>
      </w:r>
    </w:p>
    <w:p>
      <w:r>
        <w:t>Run: 2026-10-02T11:18:35.143505Z | Framework ID: 10_HIPAA</w:t>
      </w:r>
    </w:p>
    <w:p>
      <w:pPr>
        <w:pStyle w:val="Heading2"/>
      </w:pPr>
      <w:r>
        <w:t>Standard</w:t>
      </w:r>
    </w:p>
    <w:p>
      <w:r>
        <w:t>HIPAA Security Rule, HHS 2013/2024 update</w:t>
      </w:r>
    </w:p>
    <w:p>
      <w:pPr>
        <w:pStyle w:val="Heading2"/>
      </w:pPr>
      <w:r>
        <w:t>Result</w:t>
      </w:r>
    </w:p>
    <w:p>
      <w:r>
        <w:t>PASS — §164.312(a)(1) Access Control, §164.312(e)(2)(ii) Encryption, §164.312(b) Audit Controls</w:t>
      </w:r>
    </w:p>
    <w:p>
      <w:pPr>
        <w:pStyle w:val="Heading2"/>
      </w:pPr>
      <w:r>
        <w:t>Score</w:t>
      </w:r>
    </w:p>
    <w:p>
      <w:r>
        <w:t>COMPLIANT — all 18 required + addressable standards met</w:t>
      </w:r>
    </w:p>
    <w:p>
      <w:pPr>
        <w:pStyle w:val="Heading2"/>
      </w:pPr>
      <w:r>
        <w:t>Notes</w:t>
      </w:r>
    </w:p>
    <w:p>
      <w:r>
        <w:t>AES-256-GCM satisfies §164.312(e)(2)(ii); AIOSS chain satisfies §164.312(b)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b3b877b8ec74e702d6ce466a2a88e7ea5c31db481a4abb56567ad42dd2baee80 |</w:t>
      </w:r>
    </w:p>
    <w:p>
      <w:r>
        <w:t>| SHA3-256 (chain) | b9f30d0ce2b6013322caa9a5412ee6ad7718c4d3df3ff0c5652aae7aa3317ccf |</w:t>
      </w:r>
    </w:p>
    <w:p>
      <w:r>
        <w:t>| Timestamp UTC | 2026-10-02T11:18:35.143505Z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