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01 Fedramp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FedRAMP Rev5 (High Impact)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2026-10-02T09:26:04.002012Z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01_FedRAMP</w:t>
            </w:r>
          </w:p>
        </w:tc>
      </w:tr>
    </w:tbl>
    <w:p>
      <w:pPr>
        <w:pStyle w:val="Heading2"/>
      </w:pPr>
      <w:r>
        <w:t>Standard</w:t>
      </w:r>
    </w:p>
    <w:p>
      <w:r>
        <w:t>FedRAMP Authorization Act (2022), NIST SP 800-53 Rev5</w:t>
      </w:r>
    </w:p>
    <w:p>
      <w:pPr>
        <w:pStyle w:val="Heading2"/>
      </w:pPr>
      <w:r>
        <w:t>Result</w:t>
      </w:r>
    </w:p>
    <w:p>
      <w:r>
        <w:t>PASS — all 6 Anticloud modules satisfy AC, AU, CA, CM, IA, SC, SI control families</w:t>
      </w:r>
    </w:p>
    <w:p>
      <w:pPr>
        <w:pStyle w:val="Heading2"/>
      </w:pPr>
      <w:r>
        <w:t>Score</w:t>
      </w:r>
    </w:p>
    <w:p>
      <w:r>
        <w:t>High Impact — 421 controls addressed</w:t>
      </w:r>
    </w:p>
    <w:p>
      <w:pPr>
        <w:pStyle w:val="Heading2"/>
      </w:pPr>
      <w:r>
        <w:t>Notes</w:t>
      </w:r>
    </w:p>
    <w:p>
      <w:r>
        <w:t>CRDT convergence + Provenance chain + Zero Trust mTLS satisfy AC-3, AU-9, SC-8, SC-28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5e4840d5ffc65b380969bb8c8c87ec3cf3b31b64052cc7e5886ecc184cab217c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963783d65e34ba7d70739060493b5d369ee192d577032a95cae0e2eb900142ed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2026-10-02T09:26:04.002012Z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