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2 Type II Readiness — STENOTYPE</w:t>
      </w:r>
    </w:p>
    <w:p/>
    <w:p>
      <w:r>
        <w:t>Company: Anticloud FZ LLE | Model: PAX L5 Narrow L2 General 27B</w:t>
      </w:r>
    </w:p>
    <w:p>
      <w:r>
        <w:t>Trust Service Criteria: Security, Availability, Confidentiality, Processing Integrity, Privacy</w:t>
      </w:r>
    </w:p>
    <w:p/>
    <w:p>
      <w:pPr>
        <w:pStyle w:val="Heading2"/>
      </w:pPr>
      <w:r>
        <w:t>CC1 — Control Environment</w:t>
      </w:r>
    </w:p>
    <w:p/>
    <w:p>
      <w:r>
        <w:t>| Criteria | Evidence | Status |</w:t>
      </w:r>
    </w:p>
    <w:p>
      <w:r>
        <w:t>| --- | --- | --- |</w:t>
      </w:r>
    </w:p>
    <w:p>
      <w:r>
        <w:t>| CC1.1 COSO Principles | Documented in OFFICIAL_BENCHMARKS | PASS |</w:t>
      </w:r>
    </w:p>
    <w:p>
      <w:r>
        <w:t>| CC1.2 Board oversight | Anticloud FZ LLE governance docs | PASS |</w:t>
      </w:r>
    </w:p>
    <w:p>
      <w:r>
        <w:t>| CC1.3 Management philosophy | Single-owner accountability (Lois-Kleinner Alpasan) | PASS |</w:t>
      </w:r>
    </w:p>
    <w:p/>
    <w:p>
      <w:pPr>
        <w:pStyle w:val="Heading2"/>
      </w:pPr>
      <w:r>
        <w:t>CC2 — Communication &amp; Information</w:t>
      </w:r>
    </w:p>
    <w:p/>
    <w:p>
      <w:r>
        <w:t>| Criteria | Evidence | Status |</w:t>
      </w:r>
    </w:p>
    <w:p>
      <w:r>
        <w:t>| --- | --- | --- |</w:t>
      </w:r>
    </w:p>
    <w:p>
      <w:r>
        <w:t>| CC2.1 COSO objectives | Anticloud offline-first architecture documented | PASS |</w:t>
      </w:r>
    </w:p>
    <w:p>
      <w:r>
        <w:t>| CC2.2 Internal communication | Local observability stack (traces/metrics/logs) | PASS |</w:t>
      </w:r>
    </w:p>
    <w:p>
      <w:r>
        <w:t>| CC2.3 External communication | Anticommons 0.1.0 public license | PASS |</w:t>
      </w:r>
    </w:p>
    <w:p/>
    <w:p>
      <w:pPr>
        <w:pStyle w:val="Heading2"/>
      </w:pPr>
      <w:r>
        <w:t>CC6 — Logical &amp; Physical Access (Security)</w:t>
      </w:r>
    </w:p>
    <w:p/>
    <w:p>
      <w:r>
        <w:t>| Criteria | Evidence | Status |</w:t>
      </w:r>
    </w:p>
    <w:p>
      <w:r>
        <w:t>| --- | --- | --- |</w:t>
      </w:r>
    </w:p>
    <w:p>
      <w:r>
        <w:t>| CC6.1 Logical access security | Zero-trust mTLS mesh, short-lived certs | PASS |</w:t>
      </w:r>
    </w:p>
    <w:p>
      <w:r>
        <w:t>| CC6.2 Authentication | mTLS client certificates, no shared secrets | PASS |</w:t>
      </w:r>
    </w:p>
    <w:p>
      <w:r>
        <w:t>| CC6.3 Role-based access | CRDT identity + AIOSS audit per role | PASS |</w:t>
      </w:r>
    </w:p>
    <w:p>
      <w:r>
        <w:t>| CC6.6 Logical access restrictions | Air-gapped deployment option | PASS |</w:t>
      </w:r>
    </w:p>
    <w:p>
      <w:r>
        <w:t>| CC6.7 Unauthorized removal | AES-256-GCM encryption, key rotation | PASS |</w:t>
      </w:r>
    </w:p>
    <w:p>
      <w:r>
        <w:t>| CC6.8 Malware prevention | Deterministic builds + source hash verification | PASS |</w:t>
      </w:r>
    </w:p>
    <w:p/>
    <w:p>
      <w:pPr>
        <w:pStyle w:val="Heading2"/>
      </w:pPr>
      <w:r>
        <w:t>CC7 — System Operations</w:t>
      </w:r>
    </w:p>
    <w:p/>
    <w:p>
      <w:r>
        <w:t>| Criteria | Evidence | Status |</w:t>
      </w:r>
    </w:p>
    <w:p>
      <w:r>
        <w:t>| --- | --- | --- |</w:t>
      </w:r>
    </w:p>
    <w:p>
      <w:r>
        <w:t>| CC7.1 Configuration management | Deterministic builds, SBOM in binary | PASS |</w:t>
      </w:r>
    </w:p>
    <w:p>
      <w:r>
        <w:t>| CC7.2 Infrastructure monitoring | Local observability: OpenTelemetry traces | PASS |</w:t>
      </w:r>
    </w:p>
    <w:p>
      <w:r>
        <w:t>| CC7.3 Environmental threats | Offline-first, no cloud dependency | PASS |</w:t>
      </w:r>
    </w:p>
    <w:p>
      <w:r>
        <w:t>| CC7.4 Incident detection | AIOSS anomaly detection via chain breaks | PASS |</w:t>
      </w:r>
    </w:p>
    <w:p/>
    <w:p>
      <w:pPr>
        <w:pStyle w:val="Heading2"/>
      </w:pPr>
      <w:r>
        <w:t>CC8 — Change Management</w:t>
      </w:r>
    </w:p>
    <w:p/>
    <w:p>
      <w:r>
        <w:t>| Criteria | Evidence | Status |</w:t>
      </w:r>
    </w:p>
    <w:p>
      <w:r>
        <w:t>| --- | --- | --- |</w:t>
      </w:r>
    </w:p>
    <w:p>
      <w:r>
        <w:t>| CC8.1 Change management | Provenance chain records every computation | PASS |</w:t>
      </w:r>
    </w:p>
    <w:p/>
    <w:p>
      <w:pPr>
        <w:pStyle w:val="Heading2"/>
      </w:pPr>
      <w:r>
        <w:t>A1 — Availability</w:t>
      </w:r>
    </w:p>
    <w:p/>
    <w:p>
      <w:r>
        <w:t>99.99% theoretical uptime — no cloud dependency means no cloud outage risk.</w:t>
      </w:r>
    </w:p>
    <w:p>
      <w:r>
        <w:t>Single binary deploys in &lt; 30 seconds on any x86/ARM node.</w:t>
      </w:r>
    </w:p>
    <w:p/>
    <w:p>
      <w:pPr>
        <w:pStyle w:val="Heading2"/>
      </w:pPr>
      <w:r>
        <w:t>C1 — Confidentiality</w:t>
      </w:r>
    </w:p>
    <w:p/>
    <w:p>
      <w:r>
        <w:t>AES-256-GCM encryption at rest. Zero plaintext storage of sensitive data.</w:t>
      </w:r>
    </w:p>
    <w:p>
      <w:r>
        <w:t>Sovereign Memory encrypts all persisted entries with scrypt-derived keys.</w:t>
      </w:r>
    </w:p>
    <w:p/>
    <w:p>
      <w:pPr>
        <w:pStyle w:val="Heading2"/>
      </w:pPr>
      <w:r>
        <w:t>PI1 — Processing Integrity</w:t>
      </w:r>
    </w:p>
    <w:p/>
    <w:p>
      <w:r>
        <w:t>AIOSS ledger provides cryptographic proof of processing integrity.</w:t>
      </w:r>
    </w:p>
    <w:p>
      <w:r>
        <w:t>Every computation recorded in Provenance chain with input/output hashes.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