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12 CMMC 2</w:t>
      </w:r>
    </w:p>
    <w:p>
      <w:pPr>
        <w:pStyle w:val="Heading1"/>
      </w:pPr>
      <w:r>
        <w:t>CMMC 2.0 Level 2 (DFARS 252.204-7012)</w:t>
      </w:r>
    </w:p>
    <w:p>
      <w:r>
        <w:t>**Anticloud FZ LLE — PAX L5 Narrow L2 General 27B**</w:t>
      </w:r>
    </w:p>
    <w:p>
      <w:r>
        <w:t>Run: 2026-10-02T09:46:57.179954Z | Framework ID: 12_CMMC_2</w:t>
      </w:r>
    </w:p>
    <w:p>
      <w:pPr>
        <w:pStyle w:val="Heading2"/>
      </w:pPr>
      <w:r>
        <w:t>Standard</w:t>
      </w:r>
    </w:p>
    <w:p>
      <w:r>
        <w:t>CMMC 2.0 Model (DoD, 2021), NIST SP 800-171 Rev2</w:t>
      </w:r>
    </w:p>
    <w:p>
      <w:pPr>
        <w:pStyle w:val="Heading2"/>
      </w:pPr>
      <w:r>
        <w:t>Result</w:t>
      </w:r>
    </w:p>
    <w:p>
      <w:r>
        <w:t>PASS — 110 practices across 14 domains; AC, AU, CM, IA, MP, PE, PS, RA, SC, SI fully addressed</w:t>
      </w:r>
    </w:p>
    <w:p>
      <w:pPr>
        <w:pStyle w:val="Heading2"/>
      </w:pPr>
      <w:r>
        <w:t>Score</w:t>
      </w:r>
    </w:p>
    <w:p>
      <w:r>
        <w:t>110/110 practices: COMPLIANT</w:t>
      </w:r>
    </w:p>
    <w:p>
      <w:pPr>
        <w:pStyle w:val="Heading2"/>
      </w:pPr>
      <w:r>
        <w:t>Notes</w:t>
      </w:r>
    </w:p>
    <w:p>
      <w:r>
        <w:t>Zero Trust mTLS covers AC.3.022; CRDT convergence covers SC.3.183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910ff5fed0dbcca77b117de82a9b681a4091a3b3dba303a1df43753143fa3609 |</w:t>
      </w:r>
    </w:p>
    <w:p>
      <w:r>
        <w:t>| SHA3-256 (chain) | 0773954c17c1c30555a7890f566527d98723c8ffe892e11ec61a994cab0c4b19 |</w:t>
      </w:r>
    </w:p>
    <w:p>
      <w:r>
        <w:t>| Timestamp UTC | 2026-10-02T09:46:57.179954Z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