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15 GDPR</w:t>
      </w:r>
    </w:p>
    <w:p>
      <w:pPr>
        <w:pStyle w:val="Heading1"/>
      </w:pPr>
      <w:r>
        <w:t>GDPR (EU) 2016/679 + EDPB Guidelines</w:t>
      </w:r>
    </w:p>
    <w:p>
      <w:r>
        <w:t>**Anticloud FZ LLE — PAX L5 Narrow L2 General 27B**</w:t>
      </w:r>
    </w:p>
    <w:p>
      <w:r>
        <w:t>Run: 2026-10-02T09:56:49.960884Z | Framework ID: 15_GDPR</w:t>
      </w:r>
    </w:p>
    <w:p>
      <w:pPr>
        <w:pStyle w:val="Heading2"/>
      </w:pPr>
      <w:r>
        <w:t>Standard</w:t>
      </w:r>
    </w:p>
    <w:p>
      <w:r>
        <w:t>GDPR Art. 25 (Privacy by Design), Art. 32 (Security), Art. 35 (DPIA)</w:t>
      </w:r>
    </w:p>
    <w:p>
      <w:pPr>
        <w:pStyle w:val="Heading2"/>
      </w:pPr>
      <w:r>
        <w:t>Result</w:t>
      </w:r>
    </w:p>
    <w:p>
      <w:r>
        <w:t>PASS — Privacy by Design: all data stays local; Art. 32: AES-256-GCM; Art. 17 (Right to Erasure): forget() implemented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SovereignMemory.forget() implements Art. 17; zero cloud egress satisfies Art. 44 (transfer restrictions)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843f35e34773c4e8f239a5c18b004a8c4c7b16b827d0c27488d4c51b8847a84d |</w:t>
      </w:r>
    </w:p>
    <w:p>
      <w:r>
        <w:t>| SHA3-256 (chain) | 9ec02e2d2b9d6580b1703ad21423bf5b21671edd89c688d549e142bdfadb9210 |</w:t>
      </w:r>
    </w:p>
    <w:p>
      <w:r>
        <w:t>| Timestamp UTC | 2026-10-02T09:56:49.960884Z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