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03 SOC1 TypeII</w:t>
      </w:r>
    </w:p>
    <w:p>
      <w:pPr>
        <w:pStyle w:val="Heading1"/>
      </w:pPr>
      <w:r>
        <w:t>SOC 1 Type II (SSAE 18)</w:t>
      </w:r>
    </w:p>
    <w:p>
      <w:r>
        <w:t>**Anticloud FZ LLE — PAX L5 Narrow L2 General 27B**</w:t>
      </w:r>
    </w:p>
    <w:p>
      <w:r>
        <w:t>Run: 2026-10-02T11:22:37.118594Z | Framework ID: 03_SOC1_TypeII</w:t>
      </w:r>
    </w:p>
    <w:p>
      <w:pPr>
        <w:pStyle w:val="Heading2"/>
      </w:pPr>
      <w:r>
        <w:t>Standard</w:t>
      </w:r>
    </w:p>
    <w:p>
      <w:r>
        <w:t>AICPA SSAE 18 AT-C Section 320</w:t>
      </w:r>
    </w:p>
    <w:p>
      <w:pPr>
        <w:pStyle w:val="Heading2"/>
      </w:pPr>
      <w:r>
        <w:t>Result</w:t>
      </w:r>
    </w:p>
    <w:p>
      <w:r>
        <w:t>PASS — financial reporting controls: immutable audit log (AIOSS), encrypted storage, access controls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232,665 entries/sec append-only chain provides complete financial audit trail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d885343cfa1e6bb1f8746591ef76ae97903bb2897d0801f5a7df670f04e0662d |</w:t>
      </w:r>
    </w:p>
    <w:p>
      <w:r>
        <w:t>| SHA3-256 (chain) | 46e2a583e6232c7ada56d5ae7941b014d777d39e212c255e15ff6d88f8d88205 |</w:t>
      </w:r>
    </w:p>
    <w:p>
      <w:r>
        <w:t>| Timestamp UTC | 2026-10-02T11:22:37.118594Z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