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17 TISAX</w:t>
      </w:r>
    </w:p>
    <w:p>
      <w:pPr>
        <w:pStyle w:val="Heading1"/>
      </w:pPr>
      <w:r>
        <w:t>TISAX (Trusted Information Security Assessment Exchange) AL2</w:t>
      </w:r>
    </w:p>
    <w:p>
      <w:r>
        <w:t>**Anticloud FZ LLE — PAX L5 Narrow L2 General 27B**</w:t>
      </w:r>
    </w:p>
    <w:p>
      <w:r>
        <w:t>Run: 2026-10-02T11:22:41.631104Z | Framework ID: 17_TISAX</w:t>
      </w:r>
    </w:p>
    <w:p>
      <w:pPr>
        <w:pStyle w:val="Heading2"/>
      </w:pPr>
      <w:r>
        <w:t>Standard</w:t>
      </w:r>
    </w:p>
    <w:p>
      <w:r>
        <w:t>VDA ISA 6.0.2 (2023), ENX TISAX AL2</w:t>
      </w:r>
    </w:p>
    <w:p>
      <w:pPr>
        <w:pStyle w:val="Heading2"/>
      </w:pPr>
      <w:r>
        <w:t>Result</w:t>
      </w:r>
    </w:p>
    <w:p>
      <w:r>
        <w:t>PASS — Information security, prototype protection, data protection at AL2</w:t>
      </w:r>
    </w:p>
    <w:p>
      <w:pPr>
        <w:pStyle w:val="Heading2"/>
      </w:pPr>
      <w:r>
        <w:t>Score</w:t>
      </w:r>
    </w:p>
    <w:p>
      <w:r>
        <w:t>AL2: COMPLIANT</w:t>
      </w:r>
    </w:p>
    <w:p>
      <w:pPr>
        <w:pStyle w:val="Heading2"/>
      </w:pPr>
      <w:r>
        <w:t>Notes</w:t>
      </w:r>
    </w:p>
    <w:p>
      <w:r>
        <w:t>Relevant for automotive supply chain use cases; AES-256-GCM and Zero Trust cover core controls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fb37b916f1c317c6bd48a882887182d36c4de5ac973a102bb28df61ac0e1c29a |</w:t>
      </w:r>
    </w:p>
    <w:p>
      <w:r>
        <w:t>| SHA3-256 (chain) | 372c5d10cd30d721b33deaceac6bed514ef509102f37301d3d6764c788444e2c |</w:t>
      </w:r>
    </w:p>
    <w:p>
      <w:r>
        <w:t>| Timestamp UTC | 2026-10-02T11:22:41.631104Z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