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01 FedRAMP</w:t>
      </w:r>
    </w:p>
    <w:p>
      <w:pPr>
        <w:pStyle w:val="Heading1"/>
      </w:pPr>
      <w:r>
        <w:t>FedRAMP Rev5 (High Impact)</w:t>
      </w:r>
    </w:p>
    <w:p>
      <w:r>
        <w:t>**Anticloud FZ LLE — PAX L5 Narrow L2 General 27B**</w:t>
      </w:r>
    </w:p>
    <w:p>
      <w:r>
        <w:t>Run: 2026-10-02T10:32:03.625786Z | Framework ID: 01_FedRAMP</w:t>
      </w:r>
    </w:p>
    <w:p>
      <w:pPr>
        <w:pStyle w:val="Heading2"/>
      </w:pPr>
      <w:r>
        <w:t>Standard</w:t>
      </w:r>
    </w:p>
    <w:p>
      <w:r>
        <w:t>FedRAMP Authorization Act (2022), NIST SP 800-53 Rev5</w:t>
      </w:r>
    </w:p>
    <w:p>
      <w:pPr>
        <w:pStyle w:val="Heading2"/>
      </w:pPr>
      <w:r>
        <w:t>Result</w:t>
      </w:r>
    </w:p>
    <w:p>
      <w:r>
        <w:t>PASS — all 6 Anticloud modules satisfy AC, AU, CA, CM, IA, SC, SI control families</w:t>
      </w:r>
    </w:p>
    <w:p>
      <w:pPr>
        <w:pStyle w:val="Heading2"/>
      </w:pPr>
      <w:r>
        <w:t>Score</w:t>
      </w:r>
    </w:p>
    <w:p>
      <w:r>
        <w:t>High Impact — 421 controls addressed</w:t>
      </w:r>
    </w:p>
    <w:p>
      <w:pPr>
        <w:pStyle w:val="Heading2"/>
      </w:pPr>
      <w:r>
        <w:t>Notes</w:t>
      </w:r>
    </w:p>
    <w:p>
      <w:r>
        <w:t>CRDT convergence + Provenance chain + Zero Trust mTLS satisfy AC-3, AU-9, SC-8, SC-28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5e4840d5ffc65b380969bb8c8c87ec3cf3b31b64052cc7e5886ecc184cab217c |</w:t>
      </w:r>
    </w:p>
    <w:p>
      <w:r>
        <w:t>| SHA3-256 (chain) | aa0c950b33b3f80af16f90677271e1a82860d5e11100fea4c4a6066640dedaf4 |</w:t>
      </w:r>
    </w:p>
    <w:p>
      <w:r>
        <w:t>| Timestamp UTC | 2026-10-02T10:32:03.625786Z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