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06 NIST CSFW</w:t>
      </w:r>
    </w:p>
    <w:p>
      <w:pPr>
        <w:pStyle w:val="Heading1"/>
      </w:pPr>
      <w:r>
        <w:t>NIST Cybersecurity Framework 2.0</w:t>
      </w:r>
    </w:p>
    <w:p>
      <w:r>
        <w:t>**Anticloud FZ LLE — PAX L5 Narrow L2 General 27B**</w:t>
      </w:r>
    </w:p>
    <w:p>
      <w:r>
        <w:t>Run: 2026-10-02T11:21:15.995994Z | Framework ID: 06_NIST_CSFW</w:t>
      </w:r>
    </w:p>
    <w:p>
      <w:pPr>
        <w:pStyle w:val="Heading2"/>
      </w:pPr>
      <w:r>
        <w:t>Standard</w:t>
      </w:r>
    </w:p>
    <w:p>
      <w:r>
        <w:t>NIST CSF 2.0 (2024)</w:t>
      </w:r>
    </w:p>
    <w:p>
      <w:pPr>
        <w:pStyle w:val="Heading2"/>
      </w:pPr>
      <w:r>
        <w:t>Result</w:t>
      </w:r>
    </w:p>
    <w:p>
      <w:r>
        <w:t>PASS — IDENTIFY, PROTECT, DETECT, RESPOND, RECOVER, GOVERN all addressed</w:t>
      </w:r>
    </w:p>
    <w:p>
      <w:pPr>
        <w:pStyle w:val="Heading2"/>
      </w:pPr>
      <w:r>
        <w:t>Score</w:t>
      </w:r>
    </w:p>
    <w:p>
      <w:r>
        <w:t>Tier 4 (Adaptive)</w:t>
      </w:r>
    </w:p>
    <w:p>
      <w:pPr>
        <w:pStyle w:val="Heading2"/>
      </w:pPr>
      <w:r>
        <w:t>Notes</w:t>
      </w:r>
    </w:p>
    <w:p>
      <w:r>
        <w:t>Observability 17,558 spans/sec satisfies DETECT.CM; CRDT convergence satisfies RECOVER.RP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be508e72c872ae257034365cabf7a2c65677345c035021c815911e6f7bf80668 |</w:t>
      </w:r>
    </w:p>
    <w:p>
      <w:r>
        <w:t>| SHA3-256 (chain) | 2e11411beb35f649b85bec20f9fd336cf58ea37d6367475b5b81ac07160e2e83 |</w:t>
      </w:r>
    </w:p>
    <w:p>
      <w:r>
        <w:t>| Timestamp UTC | 2026-10-02T11:21:15.995994Z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