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Society</w:t>
      </w:r>
    </w:p>
    <w:p>
      <w:pPr>
        <w:pStyle w:val="Heading1"/>
      </w:pPr>
      <w:r>
        <w:t>Commitment to Society — TWENTY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TWENTY | Category: CONSULTANCY</w:t>
      </w:r>
    </w:p>
    <w:p>
      <w:r>
        <w:rPr>
          <w:sz w:val="22"/>
        </w:rPr>
        <w:t>Upstream: https://github.com/twentyhq/twenty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society for the Anticloud integration of TWENTY.</w:t>
      </w:r>
    </w:p>
    <w:p/>
    <w:p>
      <w:r>
        <w:rPr>
          <w:sz w:val="22"/>
        </w:rPr>
        <w:t>Open-source Salesforce alternative CRM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TWENTY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