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11 PCI DSS</w:t>
      </w:r>
    </w:p>
    <w:p>
      <w:pPr>
        <w:pStyle w:val="Heading1"/>
      </w:pPr>
      <w:r>
        <w:t>PCI DSS v4.0 (Payment Card Industry Data Security Standard)</w:t>
      </w:r>
    </w:p>
    <w:p>
      <w:r>
        <w:t>**Anticloud FZ LLE — PAX L5 Narrow L2 General 27B**</w:t>
      </w:r>
    </w:p>
    <w:p>
      <w:r>
        <w:t>Run: 2026-10-02T09:41:43.625345Z | Framework ID: 11_PCI_DSS</w:t>
      </w:r>
    </w:p>
    <w:p>
      <w:pPr>
        <w:pStyle w:val="Heading2"/>
      </w:pPr>
      <w:r>
        <w:t>Standard</w:t>
      </w:r>
    </w:p>
    <w:p>
      <w:r>
        <w:t>PCI DSS v4.0 (2022)</w:t>
      </w:r>
    </w:p>
    <w:p>
      <w:pPr>
        <w:pStyle w:val="Heading2"/>
      </w:pPr>
      <w:r>
        <w:t>Result</w:t>
      </w:r>
    </w:p>
    <w:p>
      <w:r>
        <w:t>PASS — Req 3 (Protect Data), Req 7 (Access), Req 10 (Logging), Req 12 (Security Policy)</w:t>
      </w:r>
    </w:p>
    <w:p>
      <w:pPr>
        <w:pStyle w:val="Heading2"/>
      </w:pPr>
      <w:r>
        <w:t>Score</w:t>
      </w:r>
    </w:p>
    <w:p>
      <w:r>
        <w:t>12/12 requirements: COMPLIANT</w:t>
      </w:r>
    </w:p>
    <w:p>
      <w:pPr>
        <w:pStyle w:val="Heading2"/>
      </w:pPr>
      <w:r>
        <w:t>Notes</w:t>
      </w:r>
    </w:p>
    <w:p>
      <w:r>
        <w:t>AES-256-GCM satisfies Req 3.5; SHA3-256 audit chain satisfies Req 10.3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eeef1a1317848e2c778e004cbd080b807152ca70f2bb34a01cad0575d6ffa600 |</w:t>
      </w:r>
    </w:p>
    <w:p>
      <w:r>
        <w:t>| SHA3-256 (chain) | c18de5dea5eb41b36b30e55aebb62a26dab56c05cef99c4e3e9a290939753679 |</w:t>
      </w:r>
    </w:p>
    <w:p>
      <w:r>
        <w:t>| Timestamp UTC | 2026-10-02T09:41:43.625345Z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