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20 COBIT 2019</w:t>
      </w:r>
    </w:p>
    <w:p>
      <w:pPr>
        <w:pStyle w:val="Heading1"/>
      </w:pPr>
      <w:r>
        <w:t>COBIT 2019 (Control Objectives for IT)</w:t>
      </w:r>
    </w:p>
    <w:p>
      <w:r>
        <w:t>**Anticloud FZ LLE — PAX L5 Narrow L2 General 27B**</w:t>
      </w:r>
    </w:p>
    <w:p>
      <w:r>
        <w:t>Run: 2026-10-02T09:34:07.486919Z | Framework ID: 20_COBIT_2019</w:t>
      </w:r>
    </w:p>
    <w:p>
      <w:pPr>
        <w:pStyle w:val="Heading2"/>
      </w:pPr>
      <w:r>
        <w:t>Standard</w:t>
      </w:r>
    </w:p>
    <w:p>
      <w:r>
        <w:t>COBIT 2019 Framework (ISACA)</w:t>
      </w:r>
    </w:p>
    <w:p>
      <w:pPr>
        <w:pStyle w:val="Heading2"/>
      </w:pPr>
      <w:r>
        <w:t>Result</w:t>
      </w:r>
    </w:p>
    <w:p>
      <w:r>
        <w:t>PASS — EDM (Governance), APO (Alignment), BAI (Build), DSS (Deliver), MEA (Monitor)</w:t>
      </w:r>
    </w:p>
    <w:p>
      <w:pPr>
        <w:pStyle w:val="Heading2"/>
      </w:pPr>
      <w:r>
        <w:t>Score</w:t>
      </w:r>
    </w:p>
    <w:p>
      <w:r>
        <w:t>Maturity Level 4 (Quantitatively Managed)</w:t>
      </w:r>
    </w:p>
    <w:p>
      <w:pPr>
        <w:pStyle w:val="Heading2"/>
      </w:pPr>
      <w:r>
        <w:t>Notes</w:t>
      </w:r>
    </w:p>
    <w:p>
      <w:r>
        <w:t>Observability module provides MEA01 monitoring; Provenance chain provides MEA02 assurance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a1ecec5f7dcf165d2117efe9e588889952e14e13d4fa4e51c7a3076f9f8c4884 |</w:t>
      </w:r>
    </w:p>
    <w:p>
      <w:r>
        <w:t>| SHA3-256 (chain) | 8536858db44c141a69c8dc798a43c831583554f106a09869516c89ad82346954 |</w:t>
      </w:r>
    </w:p>
    <w:p>
      <w:r>
        <w:t>| Timestamp UTC | 2026-10-02T09:34:07.486919Z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