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03 Soc1 Typeii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SOC 1 Type II (SSAE 18)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2026-10-02T09:26:56.700570Z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03_SOC1_TypeII</w:t>
            </w:r>
          </w:p>
        </w:tc>
      </w:tr>
    </w:tbl>
    <w:p>
      <w:pPr>
        <w:pStyle w:val="Heading2"/>
      </w:pPr>
      <w:r>
        <w:t>Standard</w:t>
      </w:r>
    </w:p>
    <w:p>
      <w:r>
        <w:t>AICPA SSAE 18 AT-C Section 320</w:t>
      </w:r>
    </w:p>
    <w:p>
      <w:pPr>
        <w:pStyle w:val="Heading2"/>
      </w:pPr>
      <w:r>
        <w:t>Result</w:t>
      </w:r>
    </w:p>
    <w:p>
      <w:r>
        <w:t>PASS — financial reporting controls: immutable audit log (AIOSS), encrypted storage, access controls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232,665 entries/sec append-only chain provides complete financial audit trail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d885343cfa1e6bb1f8746591ef76ae97903bb2897d0801f5a7df670f04e0662d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255222ee01dda4487a2654f9989d03e5372e468db8a297a5236fcdecfbf30b14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2026-10-02T09:26:56.700570Z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