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17 TISAX</w:t>
      </w:r>
    </w:p>
    <w:p>
      <w:pPr>
        <w:pStyle w:val="Heading1"/>
      </w:pPr>
      <w:r>
        <w:t>TISAX (Trusted Information Security Assessment Exchange) AL2</w:t>
      </w:r>
    </w:p>
    <w:p>
      <w:r>
        <w:t>**Anticloud FZ LLE — PAX L5 Narrow L2 General 27B**</w:t>
      </w:r>
    </w:p>
    <w:p>
      <w:r>
        <w:t>Run: 2026-10-02T11:21:25.077036Z | Framework ID: 17_TISAX</w:t>
      </w:r>
    </w:p>
    <w:p>
      <w:pPr>
        <w:pStyle w:val="Heading2"/>
      </w:pPr>
      <w:r>
        <w:t>Standard</w:t>
      </w:r>
    </w:p>
    <w:p>
      <w:r>
        <w:t>VDA ISA 6.0.2 (2023), ENX TISAX AL2</w:t>
      </w:r>
    </w:p>
    <w:p>
      <w:pPr>
        <w:pStyle w:val="Heading2"/>
      </w:pPr>
      <w:r>
        <w:t>Result</w:t>
      </w:r>
    </w:p>
    <w:p>
      <w:r>
        <w:t>PASS — Information security, prototype protection, data protection at AL2</w:t>
      </w:r>
    </w:p>
    <w:p>
      <w:pPr>
        <w:pStyle w:val="Heading2"/>
      </w:pPr>
      <w:r>
        <w:t>Score</w:t>
      </w:r>
    </w:p>
    <w:p>
      <w:r>
        <w:t>AL2: COMPLIANT</w:t>
      </w:r>
    </w:p>
    <w:p>
      <w:pPr>
        <w:pStyle w:val="Heading2"/>
      </w:pPr>
      <w:r>
        <w:t>Notes</w:t>
      </w:r>
    </w:p>
    <w:p>
      <w:r>
        <w:t>Relevant for automotive supply chain use cases; AES-256-GCM and Zero Trust cover core controls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fb37b916f1c317c6bd48a882887182d36c4de5ac973a102bb28df61ac0e1c29a |</w:t>
      </w:r>
    </w:p>
    <w:p>
      <w:r>
        <w:t>| SHA3-256 (chain) | b8b6b546a3a08d7959960e92ac6bdb3978d7e38078c9c1ac2672c93dd4fdf019 |</w:t>
      </w:r>
    </w:p>
    <w:p>
      <w:r>
        <w:t>| Timestamp UTC | 2026-10-02T11:21:25.077036Z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