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19 SOX ITGC</w:t>
      </w:r>
    </w:p>
    <w:p>
      <w:pPr>
        <w:pStyle w:val="Heading1"/>
      </w:pPr>
      <w:r>
        <w:t>SOX IT General Controls (Section 404)</w:t>
      </w:r>
    </w:p>
    <w:p>
      <w:r>
        <w:t>**Anticloud FZ LLE — PAX L5 Narrow L2 General 27B**</w:t>
      </w:r>
    </w:p>
    <w:p>
      <w:r>
        <w:t>Run: 2026-10-02T09:40:37.733534Z | Framework ID: 19_SOX_ITGC</w:t>
      </w:r>
    </w:p>
    <w:p>
      <w:pPr>
        <w:pStyle w:val="Heading2"/>
      </w:pPr>
      <w:r>
        <w:t>Standard</w:t>
      </w:r>
    </w:p>
    <w:p>
      <w:r>
        <w:t>Sarbanes-Oxley Act 2002, Section 404, PCAOB AS 2201</w:t>
      </w:r>
    </w:p>
    <w:p>
      <w:pPr>
        <w:pStyle w:val="Heading2"/>
      </w:pPr>
      <w:r>
        <w:t>Result</w:t>
      </w:r>
    </w:p>
    <w:p>
      <w:r>
        <w:t>PASS — Change Management, Access Controls, Computer Operations, Program Development all covered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AIOSS immutable ledger provides SOX-compliant audit trail; Provenance chain covers change management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3b06e15420064c27f945f6e81fbb0fb628e7d4f4830fe05fde648a7f266ec471 |</w:t>
      </w:r>
    </w:p>
    <w:p>
      <w:r>
        <w:t>| SHA3-256 (chain) | d456ca6c48e54fa44159b0b6981f86765b9ff7b4cfe9adf0a05c5e4204431cee |</w:t>
      </w:r>
    </w:p>
    <w:p>
      <w:r>
        <w:t>| Timestamp UTC | 2026-10-02T09:40:37.733534Z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