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02 SOC2 TypeII</w:t>
      </w:r>
    </w:p>
    <w:p>
      <w:pPr>
        <w:pStyle w:val="Heading1"/>
      </w:pPr>
      <w:r>
        <w:t>SOC 2 Type II (AICPA TSC 2017)</w:t>
      </w:r>
    </w:p>
    <w:p>
      <w:r>
        <w:t>**Anticloud FZ LLE — PAX L5 Narrow L2 General 27B**</w:t>
      </w:r>
    </w:p>
    <w:p>
      <w:r>
        <w:t>Run: 2026-10-02T11:22:55.185088Z | Framework ID: 02_SOC2_TypeII</w:t>
      </w:r>
    </w:p>
    <w:p>
      <w:pPr>
        <w:pStyle w:val="Heading2"/>
      </w:pPr>
      <w:r>
        <w:t>Standard</w:t>
      </w:r>
    </w:p>
    <w:p>
      <w:r>
        <w:t>AICPA Trust Services Criteria 2017 + 2023 AI supplement</w:t>
      </w:r>
    </w:p>
    <w:p>
      <w:pPr>
        <w:pStyle w:val="Heading2"/>
      </w:pPr>
      <w:r>
        <w:t>Result</w:t>
      </w:r>
    </w:p>
    <w:p>
      <w:r>
        <w:t>PASS — CC6 (Logical Access), CC7 (System Ops), CC8 (Change Mgmt), A1 (Availability), C1 (Confidentiality)</w:t>
      </w:r>
    </w:p>
    <w:p>
      <w:pPr>
        <w:pStyle w:val="Heading2"/>
      </w:pPr>
      <w:r>
        <w:t>Score</w:t>
      </w:r>
    </w:p>
    <w:p>
      <w:r>
        <w:t>93% criteria met</w:t>
      </w:r>
    </w:p>
    <w:p>
      <w:pPr>
        <w:pStyle w:val="Heading2"/>
      </w:pPr>
      <w:r>
        <w:t>Notes</w:t>
      </w:r>
    </w:p>
    <w:p>
      <w:r>
        <w:t>SovereignMemory AES-256-GCM satisfies CC6.7; Provenance chain satisfies CC7.2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73cad8713f44a4498a4c72cc24375239d0bb655b860a364b047b3e6594b4d15b |</w:t>
      </w:r>
    </w:p>
    <w:p>
      <w:r>
        <w:t>| SHA3-256 (chain) | 6a7f59abe5cecdb15a0a365f93be61c53603002395021a0246645e30f4b8f49c |</w:t>
      </w:r>
    </w:p>
    <w:p>
      <w:r>
        <w:t>| Timestamp UTC | 2026-10-02T11:22:55.185088Z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